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E0F" w:rsidRDefault="00BA0E0F" w:rsidP="00BA0E0F">
      <w:pPr>
        <w:spacing w:before="240" w:after="240" w:line="360" w:lineRule="auto"/>
        <w:jc w:val="both"/>
        <w:rPr>
          <w:rFonts w:ascii="Palatino Linotype" w:hAnsi="Palatino Linotype" w:cs="Arial"/>
        </w:rPr>
      </w:pPr>
      <w:r>
        <w:rPr>
          <w:rFonts w:ascii="Palatino Linotype" w:hAnsi="Palatino Linotype"/>
        </w:rPr>
        <w:t xml:space="preserve">Resolución del Pleno del Instituto de Transparencia, Acceso a la Información Pública y Protección de Datos Personales del Estado de México y Municipios, </w:t>
      </w:r>
      <w:r>
        <w:rPr>
          <w:rFonts w:ascii="Palatino Linotype" w:eastAsia="Calibri" w:hAnsi="Palatino Linotype" w:cs="Arial"/>
        </w:rPr>
        <w:t>con domicilio en Metepec, Estado de México,</w:t>
      </w:r>
      <w:r>
        <w:rPr>
          <w:rFonts w:ascii="Palatino Linotype" w:hAnsi="Palatino Linotype"/>
        </w:rPr>
        <w:t xml:space="preserve"> de fecha</w:t>
      </w:r>
      <w:r w:rsidR="00BA49C1">
        <w:rPr>
          <w:rStyle w:val="apple-converted-space"/>
          <w:rFonts w:ascii="Palatino Linotype" w:hAnsi="Palatino Linotype" w:cs="Arial"/>
        </w:rPr>
        <w:t xml:space="preserve"> nueve de enero</w:t>
      </w:r>
      <w:r w:rsidR="00BA49C1">
        <w:rPr>
          <w:rStyle w:val="normaltextrun"/>
          <w:rFonts w:ascii="Palatino Linotype" w:hAnsi="Palatino Linotype" w:cs="Arial"/>
        </w:rPr>
        <w:t xml:space="preserve"> de dos mil diecinueve</w:t>
      </w:r>
      <w:r>
        <w:rPr>
          <w:rStyle w:val="normaltextrun"/>
          <w:rFonts w:ascii="Palatino Linotype" w:hAnsi="Palatino Linotype" w:cs="Arial"/>
        </w:rPr>
        <w:t>.</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relativo al recurso de revisión </w:t>
      </w:r>
      <w:r w:rsidR="007D0876">
        <w:rPr>
          <w:rFonts w:ascii="Palatino Linotype" w:hAnsi="Palatino Linotype" w:cs="Arial"/>
          <w:b/>
          <w:bCs/>
        </w:rPr>
        <w:t>03899</w:t>
      </w:r>
      <w:r>
        <w:rPr>
          <w:rFonts w:ascii="Palatino Linotype" w:hAnsi="Palatino Linotype" w:cs="Arial"/>
          <w:b/>
          <w:bCs/>
        </w:rPr>
        <w:t>/INFOEM/IP/RR/2018</w:t>
      </w:r>
      <w:r>
        <w:rPr>
          <w:rFonts w:ascii="Palatino Linotype" w:hAnsi="Palatino Linotype" w:cs="Arial"/>
        </w:rPr>
        <w:t xml:space="preserve">, interpuesto por </w:t>
      </w:r>
      <w:proofErr w:type="spellStart"/>
      <w:r w:rsidR="007E107F">
        <w:rPr>
          <w:rFonts w:ascii="Palatino Linotype" w:hAnsi="Palatino Linotype" w:cs="Arial"/>
          <w:b/>
        </w:rPr>
        <w:t>Xxxxxx</w:t>
      </w:r>
      <w:proofErr w:type="spellEnd"/>
      <w:r w:rsidR="007E107F">
        <w:rPr>
          <w:rFonts w:ascii="Palatino Linotype" w:hAnsi="Palatino Linotype" w:cs="Arial"/>
          <w:b/>
        </w:rPr>
        <w:t xml:space="preserve"> </w:t>
      </w:r>
      <w:proofErr w:type="spellStart"/>
      <w:r w:rsidR="007E107F">
        <w:rPr>
          <w:rFonts w:ascii="Palatino Linotype" w:hAnsi="Palatino Linotype" w:cs="Arial"/>
          <w:b/>
        </w:rPr>
        <w:t>Xxxxxxx</w:t>
      </w:r>
      <w:proofErr w:type="spellEnd"/>
      <w:r w:rsidR="007E107F">
        <w:rPr>
          <w:rFonts w:ascii="Palatino Linotype" w:hAnsi="Palatino Linotype" w:cs="Arial"/>
          <w:b/>
        </w:rPr>
        <w:t xml:space="preserve"> </w:t>
      </w:r>
      <w:proofErr w:type="spellStart"/>
      <w:r w:rsidR="007E107F">
        <w:rPr>
          <w:rFonts w:ascii="Palatino Linotype" w:hAnsi="Palatino Linotype" w:cs="Arial"/>
          <w:b/>
        </w:rPr>
        <w:t>Xxxxxxx</w:t>
      </w:r>
      <w:proofErr w:type="spellEnd"/>
      <w:r>
        <w:rPr>
          <w:rFonts w:ascii="Palatino Linotype" w:hAnsi="Palatino Linotype" w:cs="Arial"/>
        </w:rPr>
        <w:t xml:space="preserve">, en lo sucesivo el </w:t>
      </w:r>
      <w:r>
        <w:rPr>
          <w:rFonts w:ascii="Palatino Linotype" w:hAnsi="Palatino Linotype" w:cs="Arial"/>
          <w:b/>
        </w:rPr>
        <w:t>recurrente</w:t>
      </w:r>
      <w:r>
        <w:rPr>
          <w:rFonts w:ascii="Palatino Linotype" w:hAnsi="Palatino Linotype" w:cs="Arial"/>
        </w:rPr>
        <w:t xml:space="preserve"> en contra de la respuesta a su solicitud de información con número de folio </w:t>
      </w:r>
      <w:r w:rsidR="007D0876">
        <w:rPr>
          <w:rFonts w:ascii="Palatino Linotype" w:hAnsi="Palatino Linotype" w:cs="Arial"/>
          <w:b/>
        </w:rPr>
        <w:t>00517/NAUCALPA</w:t>
      </w:r>
      <w:r>
        <w:rPr>
          <w:rFonts w:ascii="Palatino Linotype" w:hAnsi="Palatino Linotype" w:cs="Arial"/>
          <w:b/>
        </w:rPr>
        <w:t>/IP/2018</w:t>
      </w:r>
      <w:r>
        <w:rPr>
          <w:rFonts w:ascii="Palatino Linotype" w:hAnsi="Palatino Linotype" w:cs="Arial"/>
        </w:rPr>
        <w:t>, por pa</w:t>
      </w:r>
      <w:bookmarkStart w:id="0" w:name="_GoBack"/>
      <w:bookmarkEnd w:id="0"/>
      <w:r>
        <w:rPr>
          <w:rFonts w:ascii="Palatino Linotype" w:hAnsi="Palatino Linotype" w:cs="Arial"/>
        </w:rPr>
        <w:t xml:space="preserve">rte del </w:t>
      </w:r>
      <w:r w:rsidR="00B3758D">
        <w:rPr>
          <w:rFonts w:ascii="Palatino Linotype" w:hAnsi="Palatino Linotype" w:cs="Arial"/>
          <w:b/>
        </w:rPr>
        <w:t xml:space="preserve">Ayuntamiento de </w:t>
      </w:r>
      <w:r w:rsidR="007D0876">
        <w:rPr>
          <w:rFonts w:ascii="Palatino Linotype" w:hAnsi="Palatino Linotype" w:cs="Arial"/>
          <w:b/>
        </w:rPr>
        <w:t>Naucalpan de Juárez</w:t>
      </w:r>
      <w:r>
        <w:rPr>
          <w:rFonts w:ascii="Palatino Linotype" w:hAnsi="Palatino Linotype" w:cs="Arial"/>
        </w:rPr>
        <w:t xml:space="preserve">, en lo sucesivo el </w:t>
      </w:r>
      <w:r>
        <w:rPr>
          <w:rFonts w:ascii="Palatino Linotype" w:hAnsi="Palatino Linotype" w:cs="Arial"/>
          <w:b/>
        </w:rPr>
        <w:t xml:space="preserve">Sujeto Obligado; </w:t>
      </w:r>
      <w:r>
        <w:rPr>
          <w:rFonts w:ascii="Palatino Linotype" w:hAnsi="Palatino Linotype" w:cs="Arial"/>
        </w:rPr>
        <w:t>se procede a dictar la pres</w:t>
      </w:r>
      <w:r w:rsidR="00B3758D">
        <w:rPr>
          <w:rFonts w:ascii="Palatino Linotype" w:hAnsi="Palatino Linotype" w:cs="Arial"/>
        </w:rPr>
        <w:t>ente resolución, con base en los</w:t>
      </w:r>
      <w:r>
        <w:rPr>
          <w:rFonts w:ascii="Palatino Linotype" w:hAnsi="Palatino Linotype" w:cs="Arial"/>
        </w:rPr>
        <w:t xml:space="preserve"> siguientes:</w:t>
      </w:r>
    </w:p>
    <w:p w:rsidR="00BA0E0F" w:rsidRDefault="00BA0E0F" w:rsidP="00BA0E0F">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Pr>
          <w:rFonts w:ascii="Palatino Linotype" w:hAnsi="Palatino Linotype" w:cs="Arial"/>
          <w:b/>
          <w:sz w:val="24"/>
          <w:szCs w:val="24"/>
        </w:rPr>
        <w:t>A N T E C E D E N T E S:</w:t>
      </w:r>
    </w:p>
    <w:p w:rsidR="00BA0E0F" w:rsidRDefault="00BA0E0F" w:rsidP="00BA0E0F">
      <w:pPr>
        <w:spacing w:before="240" w:after="240" w:line="360" w:lineRule="auto"/>
        <w:jc w:val="both"/>
        <w:rPr>
          <w:rFonts w:ascii="Palatino Linotype" w:hAnsi="Palatino Linotype" w:cs="Arial"/>
          <w:b/>
        </w:rPr>
      </w:pPr>
      <w:r>
        <w:rPr>
          <w:rFonts w:ascii="Palatino Linotype" w:hAnsi="Palatino Linotype" w:cs="Arial"/>
          <w:b/>
        </w:rPr>
        <w:t xml:space="preserve">1. Solicitud de acceso a la información. </w:t>
      </w:r>
      <w:r w:rsidR="007D0876">
        <w:rPr>
          <w:rFonts w:ascii="Palatino Linotype" w:hAnsi="Palatino Linotype" w:cs="Arial"/>
        </w:rPr>
        <w:t>Con fecha treinta y uno</w:t>
      </w:r>
      <w:r w:rsidR="00A675DA">
        <w:rPr>
          <w:rFonts w:ascii="Palatino Linotype" w:hAnsi="Palatino Linotype" w:cs="Arial"/>
        </w:rPr>
        <w:t xml:space="preserve"> de agosto</w:t>
      </w:r>
      <w:r>
        <w:rPr>
          <w:rFonts w:ascii="Palatino Linotype" w:hAnsi="Palatino Linotype" w:cs="Arial"/>
        </w:rPr>
        <w:t xml:space="preserve"> de dos mil dieciocho, la parte </w:t>
      </w:r>
      <w:r>
        <w:rPr>
          <w:rFonts w:ascii="Palatino Linotype" w:hAnsi="Palatino Linotype" w:cs="Arial"/>
          <w:b/>
        </w:rPr>
        <w:t>recurrente</w:t>
      </w:r>
      <w:r>
        <w:rPr>
          <w:rFonts w:ascii="Palatino Linotype" w:hAnsi="Palatino Linotype" w:cs="Arial"/>
        </w:rPr>
        <w:t xml:space="preserve"> formuló solicitud de acceso a información pública </w:t>
      </w:r>
      <w:proofErr w:type="gramStart"/>
      <w:r>
        <w:rPr>
          <w:rFonts w:ascii="Palatino Linotype" w:hAnsi="Palatino Linotype" w:cs="Arial"/>
        </w:rPr>
        <w:t>al</w:t>
      </w:r>
      <w:proofErr w:type="gramEnd"/>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a través del Sistema de Acceso a la Información Mexiquense, en adelante </w:t>
      </w:r>
      <w:r>
        <w:rPr>
          <w:rFonts w:ascii="Palatino Linotype" w:hAnsi="Palatino Linotype" w:cs="Arial"/>
          <w:b/>
        </w:rPr>
        <w:t>SAIMEX,</w:t>
      </w:r>
      <w:r>
        <w:rPr>
          <w:rFonts w:ascii="Palatino Linotype" w:hAnsi="Palatino Linotype" w:cs="Arial"/>
        </w:rPr>
        <w:t xml:space="preserve"> requiriéndole lo siguiente:</w:t>
      </w:r>
    </w:p>
    <w:p w:rsidR="00BA0E0F" w:rsidRPr="00B3758D" w:rsidRDefault="00BA0E0F" w:rsidP="00BA0E0F">
      <w:pPr>
        <w:autoSpaceDE w:val="0"/>
        <w:autoSpaceDN w:val="0"/>
        <w:adjustRightInd w:val="0"/>
        <w:ind w:left="851" w:right="900"/>
        <w:jc w:val="both"/>
        <w:rPr>
          <w:rFonts w:ascii="Palatino Linotype" w:hAnsi="Palatino Linotype" w:cs="Arial"/>
          <w:i/>
          <w:sz w:val="22"/>
          <w:szCs w:val="22"/>
        </w:rPr>
      </w:pPr>
      <w:r w:rsidRPr="00A675DA">
        <w:rPr>
          <w:rFonts w:ascii="Palatino Linotype" w:hAnsi="Palatino Linotype"/>
          <w:i/>
          <w:sz w:val="22"/>
          <w:szCs w:val="22"/>
        </w:rPr>
        <w:t>“</w:t>
      </w:r>
      <w:r w:rsidR="007D0876" w:rsidRPr="007D0876">
        <w:rPr>
          <w:rFonts w:ascii="Palatino Linotype" w:hAnsi="Palatino Linotype"/>
          <w:i/>
          <w:sz w:val="22"/>
          <w:szCs w:val="22"/>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00897894" w:rsidRPr="00A675DA">
        <w:rPr>
          <w:rFonts w:ascii="Palatino Linotype" w:hAnsi="Palatino Linotype"/>
          <w:i/>
          <w:sz w:val="22"/>
          <w:szCs w:val="22"/>
        </w:rPr>
        <w:t>”</w:t>
      </w:r>
      <w:r w:rsidR="00A675DA">
        <w:rPr>
          <w:rFonts w:ascii="Palatino Linotype" w:hAnsi="Palatino Linotype"/>
          <w:i/>
          <w:sz w:val="22"/>
          <w:szCs w:val="22"/>
        </w:rPr>
        <w:t xml:space="preserve"> </w:t>
      </w:r>
      <w:r w:rsidRPr="00A675DA">
        <w:rPr>
          <w:rFonts w:ascii="Palatino Linotype" w:hAnsi="Palatino Linotype"/>
          <w:i/>
          <w:sz w:val="22"/>
          <w:szCs w:val="22"/>
        </w:rPr>
        <w:t>(Sic</w:t>
      </w:r>
      <w:r w:rsidRPr="00B3758D">
        <w:rPr>
          <w:rFonts w:ascii="Palatino Linotype" w:hAnsi="Palatino Linotype" w:cs="Arial"/>
          <w:i/>
          <w:sz w:val="22"/>
          <w:szCs w:val="22"/>
        </w:rPr>
        <w:t>)</w:t>
      </w:r>
    </w:p>
    <w:p w:rsidR="00361F3D" w:rsidRDefault="00BA0E0F" w:rsidP="00BA0E0F">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 xml:space="preserve">a través del </w:t>
      </w:r>
      <w:r w:rsidR="00A675DA">
        <w:rPr>
          <w:rFonts w:ascii="Palatino Linotype" w:hAnsi="Palatino Linotype" w:cs="Arial"/>
        </w:rPr>
        <w:t>SAIMEX.</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lastRenderedPageBreak/>
        <w:t xml:space="preserve">2. Respuesta. </w:t>
      </w:r>
      <w:r w:rsidR="006124E4">
        <w:rPr>
          <w:rFonts w:ascii="Palatino Linotype" w:hAnsi="Palatino Linotype" w:cs="Arial"/>
        </w:rPr>
        <w:t xml:space="preserve">Con fecha </w:t>
      </w:r>
      <w:r w:rsidR="00361F3D">
        <w:rPr>
          <w:rFonts w:ascii="Palatino Linotype" w:hAnsi="Palatino Linotype" w:cs="Arial"/>
        </w:rPr>
        <w:t>veintiuno</w:t>
      </w:r>
      <w:r w:rsidRPr="00912D0E">
        <w:rPr>
          <w:rFonts w:ascii="Palatino Linotype" w:hAnsi="Palatino Linotype" w:cs="Arial"/>
        </w:rPr>
        <w:t xml:space="preserve"> </w:t>
      </w:r>
      <w:r w:rsidR="006124E4" w:rsidRPr="00912D0E">
        <w:rPr>
          <w:rFonts w:ascii="Palatino Linotype" w:hAnsi="Palatino Linotype" w:cs="Arial"/>
        </w:rPr>
        <w:t>de septiembre</w:t>
      </w:r>
      <w:r w:rsidRPr="00912D0E">
        <w:rPr>
          <w:rFonts w:ascii="Palatino Linotype" w:hAnsi="Palatino Linotype" w:cs="Arial"/>
        </w:rPr>
        <w:t xml:space="preserve"> de dos mil dieciocho el </w:t>
      </w:r>
      <w:r w:rsidRPr="00912D0E">
        <w:rPr>
          <w:rFonts w:ascii="Palatino Linotype" w:hAnsi="Palatino Linotype" w:cs="Arial"/>
          <w:b/>
        </w:rPr>
        <w:t xml:space="preserve">Sujeto </w:t>
      </w:r>
      <w:r>
        <w:rPr>
          <w:rFonts w:ascii="Palatino Linotype" w:hAnsi="Palatino Linotype" w:cs="Arial"/>
          <w:b/>
        </w:rPr>
        <w:t>Obligado</w:t>
      </w:r>
      <w:r>
        <w:rPr>
          <w:rFonts w:ascii="Palatino Linotype" w:hAnsi="Palatino Linotype" w:cs="Arial"/>
        </w:rPr>
        <w:t xml:space="preserve"> envió su respuesta a la solicitud de acceso a la información a través del SAIMEX, la cual versa como sigue:</w:t>
      </w:r>
    </w:p>
    <w:p w:rsidR="00B3758D" w:rsidRDefault="00BA0E0F" w:rsidP="00B3758D">
      <w:pPr>
        <w:spacing w:before="240" w:after="240"/>
        <w:ind w:left="851" w:right="902"/>
        <w:contextualSpacing/>
        <w:jc w:val="both"/>
        <w:rPr>
          <w:rFonts w:ascii="Palatino Linotype" w:hAnsi="Palatino Linotype"/>
          <w:i/>
          <w:sz w:val="22"/>
          <w:szCs w:val="22"/>
        </w:rPr>
      </w:pPr>
      <w:r w:rsidRPr="00B3758D">
        <w:rPr>
          <w:rFonts w:ascii="Palatino Linotype" w:hAnsi="Palatino Linotype"/>
          <w:i/>
          <w:sz w:val="22"/>
          <w:szCs w:val="22"/>
        </w:rPr>
        <w:t>“</w:t>
      </w:r>
      <w:r w:rsidR="003105C0" w:rsidRPr="003105C0">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61F3D" w:rsidRDefault="00361F3D" w:rsidP="00B3758D">
      <w:pPr>
        <w:spacing w:before="240" w:after="240"/>
        <w:ind w:left="851" w:right="902"/>
        <w:contextualSpacing/>
        <w:jc w:val="both"/>
        <w:rPr>
          <w:rFonts w:ascii="Palatino Linotype" w:hAnsi="Palatino Linotype"/>
          <w:i/>
          <w:sz w:val="22"/>
          <w:szCs w:val="22"/>
        </w:rPr>
      </w:pPr>
      <w:r w:rsidRPr="00361F3D">
        <w:rPr>
          <w:rFonts w:ascii="Palatino Linotype" w:hAnsi="Palatino Linotype"/>
          <w:i/>
          <w:sz w:val="22"/>
          <w:szCs w:val="22"/>
        </w:rPr>
        <w:t xml:space="preserve">Se cita textualmente la respuesta otorgada por el Servidor Público Habilitado responsable de dar atención a su solicitud de información. En atención a su solicitud de información le comunico que en la Décimo Octava Sesión Ordinaria del Comité de Transparencia del Ayuntamiento de Naucalpan de Juárez, celebrada el 20 de septiembre de 2018, mediante acuerdo </w:t>
      </w:r>
      <w:proofErr w:type="spellStart"/>
      <w:r w:rsidRPr="00361F3D">
        <w:rPr>
          <w:rFonts w:ascii="Palatino Linotype" w:hAnsi="Palatino Linotype"/>
          <w:i/>
          <w:sz w:val="22"/>
          <w:szCs w:val="22"/>
        </w:rPr>
        <w:t>numero</w:t>
      </w:r>
      <w:proofErr w:type="spellEnd"/>
      <w:r w:rsidRPr="00361F3D">
        <w:rPr>
          <w:rFonts w:ascii="Palatino Linotype" w:hAnsi="Palatino Linotype"/>
          <w:i/>
          <w:sz w:val="22"/>
          <w:szCs w:val="22"/>
        </w:rPr>
        <w:t xml:space="preserve"> CT/CO/0133/2018, se aprobó la versión </w:t>
      </w:r>
      <w:proofErr w:type="gramStart"/>
      <w:r w:rsidRPr="00361F3D">
        <w:rPr>
          <w:rFonts w:ascii="Palatino Linotype" w:hAnsi="Palatino Linotype"/>
          <w:i/>
          <w:sz w:val="22"/>
          <w:szCs w:val="22"/>
        </w:rPr>
        <w:t>publica</w:t>
      </w:r>
      <w:proofErr w:type="gramEnd"/>
      <w:r w:rsidRPr="00361F3D">
        <w:rPr>
          <w:rFonts w:ascii="Palatino Linotype" w:hAnsi="Palatino Linotype"/>
          <w:i/>
          <w:sz w:val="22"/>
          <w:szCs w:val="22"/>
        </w:rPr>
        <w:t xml:space="preserve"> de la información solicitada. En atención a su solicitud de información le comunico que en la Décimo Octava Sesión Ordinaria del Comité de Transparencia del Ayuntamiento de Naucalpan de Juárez, celebrada el 20 de septiembre de 2018, mediante acuerdo </w:t>
      </w:r>
      <w:proofErr w:type="spellStart"/>
      <w:r w:rsidRPr="00361F3D">
        <w:rPr>
          <w:rFonts w:ascii="Palatino Linotype" w:hAnsi="Palatino Linotype"/>
          <w:i/>
          <w:sz w:val="22"/>
          <w:szCs w:val="22"/>
        </w:rPr>
        <w:t>numero</w:t>
      </w:r>
      <w:proofErr w:type="spellEnd"/>
      <w:r w:rsidRPr="00361F3D">
        <w:rPr>
          <w:rFonts w:ascii="Palatino Linotype" w:hAnsi="Palatino Linotype"/>
          <w:i/>
          <w:sz w:val="22"/>
          <w:szCs w:val="22"/>
        </w:rPr>
        <w:t xml:space="preserve"> CT/CO/0133/2018, se aprobó la versión </w:t>
      </w:r>
      <w:proofErr w:type="gramStart"/>
      <w:r w:rsidRPr="00361F3D">
        <w:rPr>
          <w:rFonts w:ascii="Palatino Linotype" w:hAnsi="Palatino Linotype"/>
          <w:i/>
          <w:sz w:val="22"/>
          <w:szCs w:val="22"/>
        </w:rPr>
        <w:t>publica</w:t>
      </w:r>
      <w:proofErr w:type="gramEnd"/>
      <w:r w:rsidRPr="00361F3D">
        <w:rPr>
          <w:rFonts w:ascii="Palatino Linotype" w:hAnsi="Palatino Linotype"/>
          <w:i/>
          <w:sz w:val="22"/>
          <w:szCs w:val="22"/>
        </w:rPr>
        <w:t xml:space="preserve"> de la información solicitada.</w:t>
      </w:r>
    </w:p>
    <w:p w:rsidR="00B3758D" w:rsidRPr="00B3758D" w:rsidRDefault="00B3758D" w:rsidP="00B3758D">
      <w:pPr>
        <w:spacing w:before="240" w:after="240"/>
        <w:ind w:left="851" w:right="902"/>
        <w:contextualSpacing/>
        <w:jc w:val="both"/>
        <w:rPr>
          <w:rFonts w:ascii="Palatino Linotype" w:hAnsi="Palatino Linotype"/>
          <w:i/>
          <w:sz w:val="22"/>
          <w:szCs w:val="22"/>
        </w:rPr>
      </w:pPr>
      <w:r w:rsidRPr="00B3758D">
        <w:rPr>
          <w:rFonts w:ascii="Palatino Linotype" w:hAnsi="Palatino Linotype"/>
          <w:i/>
          <w:sz w:val="22"/>
          <w:szCs w:val="22"/>
        </w:rPr>
        <w:t>ATENTAMENTE</w:t>
      </w:r>
    </w:p>
    <w:p w:rsidR="00BA0E0F" w:rsidRPr="00B3758D" w:rsidRDefault="00361F3D" w:rsidP="00B3758D">
      <w:pPr>
        <w:spacing w:before="240" w:after="240"/>
        <w:ind w:left="851" w:right="902"/>
        <w:contextualSpacing/>
        <w:jc w:val="both"/>
        <w:rPr>
          <w:rFonts w:ascii="Palatino Linotype" w:hAnsi="Palatino Linotype"/>
          <w:i/>
          <w:sz w:val="22"/>
          <w:szCs w:val="22"/>
        </w:rPr>
      </w:pPr>
      <w:r w:rsidRPr="00361F3D">
        <w:rPr>
          <w:rFonts w:ascii="Palatino Linotype" w:hAnsi="Palatino Linotype"/>
          <w:i/>
          <w:sz w:val="22"/>
          <w:szCs w:val="22"/>
        </w:rPr>
        <w:t>MTRO. JORGE CAJIGA CALDERÓN</w:t>
      </w:r>
      <w:r w:rsidR="00BA0E0F" w:rsidRPr="00B3758D">
        <w:rPr>
          <w:rFonts w:ascii="Palatino Linotype" w:hAnsi="Palatino Linotype"/>
          <w:i/>
          <w:sz w:val="22"/>
          <w:szCs w:val="22"/>
        </w:rPr>
        <w:t>” (Sic)</w:t>
      </w:r>
    </w:p>
    <w:p w:rsidR="00BA0E0F" w:rsidRPr="00B3758D" w:rsidRDefault="00BA0E0F" w:rsidP="00BA0E0F">
      <w:pPr>
        <w:spacing w:before="240" w:after="240"/>
        <w:ind w:left="851" w:right="902"/>
        <w:contextualSpacing/>
        <w:jc w:val="both"/>
        <w:rPr>
          <w:rFonts w:ascii="Palatino Linotype" w:hAnsi="Palatino Linotype"/>
          <w:i/>
          <w:sz w:val="22"/>
          <w:szCs w:val="22"/>
        </w:rPr>
      </w:pPr>
    </w:p>
    <w:p w:rsidR="00BA0E0F" w:rsidRDefault="00B3758D" w:rsidP="00BA0E0F">
      <w:pPr>
        <w:spacing w:before="240" w:after="240" w:line="360" w:lineRule="auto"/>
        <w:jc w:val="both"/>
        <w:rPr>
          <w:rFonts w:ascii="Palatino Linotype" w:hAnsi="Palatino Linotype" w:cs="Arial"/>
        </w:rPr>
      </w:pPr>
      <w:r>
        <w:rPr>
          <w:rFonts w:ascii="Palatino Linotype" w:hAnsi="Palatino Linotype" w:cs="Arial"/>
        </w:rPr>
        <w:t>Adjuntando a su respuesta el archivo electrónico</w:t>
      </w:r>
      <w:r w:rsidR="00BA0E0F">
        <w:rPr>
          <w:rFonts w:ascii="Palatino Linotype" w:hAnsi="Palatino Linotype" w:cs="Arial"/>
        </w:rPr>
        <w:t xml:space="preserve"> </w:t>
      </w:r>
      <w:r w:rsidR="003105C0">
        <w:rPr>
          <w:rFonts w:ascii="Palatino Linotype" w:hAnsi="Palatino Linotype" w:cs="Arial"/>
        </w:rPr>
        <w:t>“</w:t>
      </w:r>
      <w:hyperlink r:id="rId8" w:tgtFrame="_blank" w:history="1">
        <w:r w:rsidR="00361F3D" w:rsidRPr="00361F3D">
          <w:rPr>
            <w:rFonts w:ascii="Palatino Linotype" w:hAnsi="Palatino Linotype"/>
          </w:rPr>
          <w:t>NÓMINA PUBLICA MARZO 18.zip</w:t>
        </w:r>
      </w:hyperlink>
      <w:r w:rsidR="003105C0">
        <w:rPr>
          <w:rFonts w:ascii="Palatino Linotype" w:hAnsi="Palatino Linotype" w:cs="Arial"/>
        </w:rPr>
        <w:t xml:space="preserve">”, el cual contiene </w:t>
      </w:r>
      <w:r w:rsidR="00361F3D">
        <w:rPr>
          <w:rFonts w:ascii="Palatino Linotype" w:hAnsi="Palatino Linotype" w:cs="Arial"/>
        </w:rPr>
        <w:t xml:space="preserve">dos archivos denominados “NÓMINA PUBLICA MARZO 1805.pdf” y “NÓMINA PUBLICA MARZO 1806.pdf”, lo cuales contienen cada uno, 242 fojas, en donde se aprecia </w:t>
      </w:r>
      <w:r w:rsidR="000B74BF">
        <w:rPr>
          <w:rFonts w:ascii="Palatino Linotype" w:hAnsi="Palatino Linotype" w:cs="Arial"/>
        </w:rPr>
        <w:t xml:space="preserve">que llevan como título “PRIMERA QUINCENA DE MARZO 2018” y “SEGUNDA QUINCENA DE MARZO DE MARZO DE 2018”; en donde se advierten </w:t>
      </w:r>
      <w:r w:rsidR="00361F3D">
        <w:rPr>
          <w:rFonts w:ascii="Palatino Linotype" w:hAnsi="Palatino Linotype" w:cs="Arial"/>
        </w:rPr>
        <w:t xml:space="preserve">diversos nombres, el puesto, dirección, departamento, total de percepciones, </w:t>
      </w:r>
      <w:r w:rsidR="000B74BF">
        <w:rPr>
          <w:rFonts w:ascii="Palatino Linotype" w:hAnsi="Palatino Linotype" w:cs="Arial"/>
        </w:rPr>
        <w:t>total de deducciones y total neto; es decir que el Sujeto Obligado genero un documento ad hoc para dar respuesta a la solicitud.</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lastRenderedPageBreak/>
        <w:t xml:space="preserve">3. Interposición del recurso de revisión. </w:t>
      </w:r>
      <w:r>
        <w:rPr>
          <w:rFonts w:ascii="Palatino Linotype" w:hAnsi="Palatino Linotype" w:cs="Arial"/>
        </w:rPr>
        <w:t xml:space="preserve">Inconforme el solicitante con la respuesta del </w:t>
      </w:r>
      <w:r>
        <w:rPr>
          <w:rFonts w:ascii="Palatino Linotype" w:hAnsi="Palatino Linotype" w:cs="Arial"/>
          <w:b/>
        </w:rPr>
        <w:t>Sujeto Obligado</w:t>
      </w:r>
      <w:r>
        <w:rPr>
          <w:rFonts w:ascii="Palatino Linotype" w:hAnsi="Palatino Linotype" w:cs="Arial"/>
        </w:rPr>
        <w:t xml:space="preserve"> interpuso recurso de revisión a</w:t>
      </w:r>
      <w:r w:rsidR="00E8131B">
        <w:rPr>
          <w:rFonts w:ascii="Palatino Linotype" w:hAnsi="Palatino Linotype" w:cs="Arial"/>
        </w:rPr>
        <w:t xml:space="preserve"> travé</w:t>
      </w:r>
      <w:r w:rsidR="003105C0">
        <w:rPr>
          <w:rFonts w:ascii="Palatino Linotype" w:hAnsi="Palatino Linotype" w:cs="Arial"/>
        </w:rPr>
        <w:t xml:space="preserve">s del SAIMEX en fecha </w:t>
      </w:r>
      <w:r w:rsidR="000B74BF">
        <w:rPr>
          <w:rFonts w:ascii="Palatino Linotype" w:hAnsi="Palatino Linotype" w:cs="Arial"/>
        </w:rPr>
        <w:t>doce de octubre</w:t>
      </w:r>
      <w:r w:rsidRPr="00912D0E">
        <w:rPr>
          <w:rFonts w:ascii="Palatino Linotype" w:hAnsi="Palatino Linotype" w:cs="Arial"/>
        </w:rPr>
        <w:t xml:space="preserve"> de dos mil dieciocho, a través d</w:t>
      </w:r>
      <w:r>
        <w:rPr>
          <w:rFonts w:ascii="Palatino Linotype" w:hAnsi="Palatino Linotype" w:cs="Arial"/>
        </w:rPr>
        <w:t>el cual expresó lo siguiente:</w:t>
      </w:r>
    </w:p>
    <w:p w:rsidR="00BA0E0F" w:rsidRDefault="00BA0E0F" w:rsidP="00BA0E0F">
      <w:pPr>
        <w:spacing w:line="360" w:lineRule="auto"/>
        <w:rPr>
          <w:rFonts w:ascii="Palatino Linotype" w:hAnsi="Palatino Linotype" w:cs="Arial"/>
          <w:b/>
        </w:rPr>
      </w:pPr>
      <w:r>
        <w:rPr>
          <w:rFonts w:ascii="Palatino Linotype" w:hAnsi="Palatino Linotype" w:cs="Arial"/>
          <w:b/>
        </w:rPr>
        <w:t>a) Acto impugnado.</w:t>
      </w:r>
    </w:p>
    <w:p w:rsidR="00BA0E0F" w:rsidRPr="00E8131B" w:rsidRDefault="00BA0E0F" w:rsidP="00BA0E0F">
      <w:pPr>
        <w:spacing w:after="240"/>
        <w:ind w:left="851" w:right="900"/>
        <w:jc w:val="both"/>
        <w:rPr>
          <w:rFonts w:ascii="Palatino Linotype" w:hAnsi="Palatino Linotype" w:cs="Arial"/>
          <w:i/>
          <w:sz w:val="22"/>
          <w:szCs w:val="22"/>
        </w:rPr>
      </w:pPr>
      <w:r w:rsidRPr="00E8131B">
        <w:rPr>
          <w:rFonts w:ascii="Palatino Linotype" w:hAnsi="Palatino Linotype" w:cs="Arial"/>
          <w:i/>
          <w:sz w:val="22"/>
          <w:szCs w:val="22"/>
        </w:rPr>
        <w:t>“</w:t>
      </w:r>
      <w:r w:rsidR="003105C0" w:rsidRPr="003105C0">
        <w:rPr>
          <w:rFonts w:ascii="Palatino Linotype" w:hAnsi="Palatino Linotype"/>
          <w:i/>
          <w:color w:val="000000"/>
        </w:rPr>
        <w:t>L</w:t>
      </w:r>
      <w:r w:rsidR="000B74BF">
        <w:rPr>
          <w:rFonts w:ascii="Palatino Linotype" w:hAnsi="Palatino Linotype"/>
          <w:i/>
          <w:color w:val="000000"/>
        </w:rPr>
        <w:t>a respuesta del sujeto obligado</w:t>
      </w:r>
      <w:r w:rsidRPr="003105C0">
        <w:rPr>
          <w:rFonts w:ascii="Palatino Linotype" w:hAnsi="Palatino Linotype"/>
          <w:i/>
          <w:color w:val="000000"/>
        </w:rPr>
        <w:t>”</w:t>
      </w:r>
      <w:r w:rsidRPr="00E8131B">
        <w:rPr>
          <w:rFonts w:ascii="Palatino Linotype" w:hAnsi="Palatino Linotype" w:cs="Arial"/>
          <w:i/>
          <w:sz w:val="22"/>
          <w:szCs w:val="22"/>
        </w:rPr>
        <w:t xml:space="preserve"> (Sic)</w:t>
      </w:r>
    </w:p>
    <w:p w:rsidR="00BA0E0F" w:rsidRDefault="00BA0E0F" w:rsidP="00BA0E0F">
      <w:pPr>
        <w:spacing w:line="360" w:lineRule="auto"/>
        <w:jc w:val="both"/>
        <w:rPr>
          <w:rFonts w:ascii="Palatino Linotype" w:hAnsi="Palatino Linotype" w:cs="Arial"/>
          <w:b/>
        </w:rPr>
      </w:pPr>
      <w:r>
        <w:rPr>
          <w:rFonts w:ascii="Palatino Linotype" w:hAnsi="Palatino Linotype" w:cs="Arial"/>
          <w:b/>
        </w:rPr>
        <w:t>b) Motivos de inconformidad.</w:t>
      </w:r>
    </w:p>
    <w:p w:rsidR="00BA0E0F" w:rsidRDefault="00BA0E0F" w:rsidP="00BA0E0F">
      <w:pPr>
        <w:spacing w:after="240"/>
        <w:ind w:left="851" w:right="900"/>
        <w:jc w:val="both"/>
        <w:rPr>
          <w:rFonts w:ascii="Palatino Linotype" w:hAnsi="Palatino Linotype"/>
          <w:i/>
          <w:color w:val="000000"/>
        </w:rPr>
      </w:pPr>
      <w:r w:rsidRPr="00E8131B">
        <w:rPr>
          <w:rFonts w:ascii="Palatino Linotype" w:hAnsi="Palatino Linotype"/>
          <w:i/>
          <w:color w:val="000000"/>
        </w:rPr>
        <w:t>“</w:t>
      </w:r>
      <w:r w:rsidR="000B74BF" w:rsidRPr="000B74BF">
        <w:rPr>
          <w:rFonts w:ascii="Palatino Linotype" w:hAnsi="Palatino Linotype"/>
          <w:i/>
          <w:color w:val="000000"/>
        </w:rPr>
        <w:t xml:space="preserve">la información es incompleta al </w:t>
      </w:r>
      <w:proofErr w:type="spellStart"/>
      <w:r w:rsidR="000B74BF" w:rsidRPr="000B74BF">
        <w:rPr>
          <w:rFonts w:ascii="Palatino Linotype" w:hAnsi="Palatino Linotype"/>
          <w:i/>
          <w:color w:val="000000"/>
        </w:rPr>
        <w:t>np</w:t>
      </w:r>
      <w:proofErr w:type="spellEnd"/>
      <w:r w:rsidR="000B74BF" w:rsidRPr="000B74BF">
        <w:rPr>
          <w:rFonts w:ascii="Palatino Linotype" w:hAnsi="Palatino Linotype"/>
          <w:i/>
          <w:color w:val="000000"/>
        </w:rPr>
        <w:t xml:space="preserve"> transparentar los conceptos delos ingresos, sueldo compensaciones, sobresueldos, conceptos de cada deducción.</w:t>
      </w:r>
      <w:r>
        <w:rPr>
          <w:rFonts w:ascii="Palatino Linotype" w:hAnsi="Palatino Linotype"/>
          <w:i/>
          <w:color w:val="000000"/>
        </w:rPr>
        <w:t>” (Sic)</w:t>
      </w:r>
    </w:p>
    <w:p w:rsidR="00BA0E0F" w:rsidRDefault="00BA0E0F" w:rsidP="00BA0E0F">
      <w:pPr>
        <w:spacing w:before="240" w:after="240" w:line="360" w:lineRule="auto"/>
        <w:contextualSpacing/>
        <w:jc w:val="both"/>
        <w:rPr>
          <w:rFonts w:ascii="Palatino Linotype" w:hAnsi="Palatino Linotype"/>
        </w:rPr>
      </w:pPr>
      <w:r>
        <w:rPr>
          <w:rFonts w:ascii="Palatino Linotype" w:hAnsi="Palatino Linotype"/>
          <w:b/>
        </w:rPr>
        <w:t xml:space="preserve">4. Turno. </w:t>
      </w:r>
      <w:r>
        <w:rPr>
          <w:rFonts w:ascii="Palatino Linotype" w:hAnsi="Palatino Linotype"/>
        </w:rPr>
        <w:t xml:space="preserve">De conformidad con el artículo 185, fracción I de la </w:t>
      </w:r>
      <w:r>
        <w:rPr>
          <w:rFonts w:ascii="Palatino Linotype" w:hAnsi="Palatino Linotype" w:cs="Arial"/>
        </w:rPr>
        <w:t xml:space="preserve">Ley de Transparencia y Acceso a la Información Pública del Estado de México y Municipios, el recurso de revisión número </w:t>
      </w:r>
      <w:r w:rsidR="000B74BF">
        <w:rPr>
          <w:rFonts w:ascii="Palatino Linotype" w:hAnsi="Palatino Linotype" w:cs="Arial"/>
          <w:b/>
        </w:rPr>
        <w:t>03899</w:t>
      </w:r>
      <w:r>
        <w:rPr>
          <w:rFonts w:ascii="Palatino Linotype" w:hAnsi="Palatino Linotype" w:cs="Arial"/>
          <w:b/>
        </w:rPr>
        <w:t xml:space="preserve">/INFOEM/IP/RR/2018 </w:t>
      </w:r>
      <w:r>
        <w:rPr>
          <w:rFonts w:ascii="Palatino Linotype" w:hAnsi="Palatino Linotype" w:cs="Arial"/>
          <w:bCs/>
          <w:lang w:eastAsia="es-MX"/>
        </w:rPr>
        <w:t>fue</w:t>
      </w:r>
      <w:r>
        <w:rPr>
          <w:rFonts w:ascii="Palatino Linotype" w:hAnsi="Palatino Linotype" w:cs="Arial"/>
          <w:b/>
          <w:bCs/>
          <w:lang w:eastAsia="es-MX"/>
        </w:rPr>
        <w:t xml:space="preserve"> </w:t>
      </w:r>
      <w:r>
        <w:rPr>
          <w:rFonts w:ascii="Palatino Linotype" w:hAnsi="Palatino Linotype"/>
        </w:rPr>
        <w:t>turnado al Comisionado ponente, a efecto de que analizara sobre su admisión o su desechamiento.</w:t>
      </w:r>
    </w:p>
    <w:p w:rsidR="00002F97" w:rsidRDefault="00002F97" w:rsidP="00BA0E0F">
      <w:pPr>
        <w:spacing w:before="240" w:after="240" w:line="360" w:lineRule="auto"/>
        <w:contextualSpacing/>
        <w:jc w:val="both"/>
        <w:rPr>
          <w:rFonts w:ascii="Palatino Linotype" w:hAnsi="Palatino Linotype"/>
        </w:rPr>
      </w:pPr>
    </w:p>
    <w:p w:rsidR="00BA0E0F" w:rsidRDefault="00BA0E0F" w:rsidP="00BA0E0F">
      <w:pPr>
        <w:spacing w:before="240" w:after="240" w:line="360" w:lineRule="auto"/>
        <w:contextualSpacing/>
        <w:jc w:val="both"/>
        <w:rPr>
          <w:rFonts w:ascii="Palatino Linotype" w:hAnsi="Palatino Linotype" w:cs="Arial"/>
        </w:rPr>
      </w:pPr>
      <w:r>
        <w:rPr>
          <w:rFonts w:ascii="Palatino Linotype" w:hAnsi="Palatino Linotype" w:cs="Arial"/>
          <w:b/>
        </w:rPr>
        <w:t xml:space="preserve">5. Admisión del recurso de revisión: </w:t>
      </w:r>
      <w:r w:rsidR="000B74BF">
        <w:rPr>
          <w:rFonts w:ascii="Palatino Linotype" w:hAnsi="Palatino Linotype" w:cs="Arial"/>
        </w:rPr>
        <w:t>En fecha dieciocho de octubre</w:t>
      </w:r>
      <w:r>
        <w:rPr>
          <w:rFonts w:ascii="Palatino Linotype" w:hAnsi="Palatino Linotype" w:cs="Arial"/>
        </w:rPr>
        <w:t xml:space="preserve"> de dos mil dieciocho,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0B74BF" w:rsidRPr="00C33D7E" w:rsidRDefault="00BA0E0F" w:rsidP="000B74BF">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rPr>
      </w:pPr>
      <w:r>
        <w:rPr>
          <w:rFonts w:ascii="Palatino Linotype" w:hAnsi="Palatino Linotype" w:cs="Arial"/>
          <w:b/>
          <w:sz w:val="24"/>
          <w:szCs w:val="24"/>
        </w:rPr>
        <w:t>6. Manifestaciones</w:t>
      </w:r>
      <w:r>
        <w:rPr>
          <w:rFonts w:ascii="Palatino Linotype" w:hAnsi="Palatino Linotype" w:cs="Arial"/>
          <w:sz w:val="24"/>
          <w:szCs w:val="24"/>
          <w:lang w:eastAsia="es-ES"/>
        </w:rPr>
        <w:t xml:space="preserve">: </w:t>
      </w:r>
      <w:r w:rsidR="00B42F8D" w:rsidRPr="00B42F8D">
        <w:rPr>
          <w:rFonts w:ascii="Palatino Linotype" w:hAnsi="Palatino Linotype" w:cs="Arial"/>
          <w:sz w:val="24"/>
          <w:szCs w:val="24"/>
        </w:rPr>
        <w:t>De las constancias que integran el expediente en</w:t>
      </w:r>
      <w:r w:rsidR="00EB01FE">
        <w:rPr>
          <w:rFonts w:ascii="Palatino Linotype" w:hAnsi="Palatino Linotype" w:cs="Arial"/>
          <w:sz w:val="24"/>
          <w:szCs w:val="24"/>
        </w:rPr>
        <w:t xml:space="preserve"> que se actúa se advierte que el recurrente fue omiso</w:t>
      </w:r>
      <w:r w:rsidR="00B42F8D" w:rsidRPr="00B42F8D">
        <w:rPr>
          <w:rFonts w:ascii="Palatino Linotype" w:hAnsi="Palatino Linotype" w:cs="Arial"/>
          <w:sz w:val="24"/>
          <w:szCs w:val="24"/>
        </w:rPr>
        <w:t xml:space="preserve"> en ofrecer pruebas o expresar alegatos; en términos del artículo 185 fracciones II de la ley que nos ocupa. Por su parte, </w:t>
      </w:r>
      <w:r w:rsidR="00EB01FE">
        <w:rPr>
          <w:rFonts w:ascii="Palatino Linotype" w:hAnsi="Palatino Linotype" w:cs="Arial"/>
          <w:sz w:val="24"/>
          <w:szCs w:val="24"/>
        </w:rPr>
        <w:t>e</w:t>
      </w:r>
      <w:r w:rsidR="00EB01FE" w:rsidRPr="00EB01FE">
        <w:rPr>
          <w:rFonts w:ascii="Palatino Linotype" w:hAnsi="Palatino Linotype" w:cs="Arial"/>
          <w:sz w:val="24"/>
          <w:szCs w:val="24"/>
        </w:rPr>
        <w:t>l Sujeto Obligado</w:t>
      </w:r>
      <w:r w:rsidR="000B74BF" w:rsidRPr="000B74BF">
        <w:rPr>
          <w:rFonts w:ascii="Palatino Linotype" w:hAnsi="Palatino Linotype" w:cs="Arial"/>
          <w:sz w:val="24"/>
          <w:szCs w:val="24"/>
        </w:rPr>
        <w:t xml:space="preserve">, en fecha </w:t>
      </w:r>
      <w:r w:rsidR="000B74BF">
        <w:rPr>
          <w:rFonts w:ascii="Palatino Linotype" w:hAnsi="Palatino Linotype" w:cs="Arial"/>
          <w:sz w:val="24"/>
          <w:szCs w:val="24"/>
        </w:rPr>
        <w:t>veintinueve de octubre del dos mil dieciocho, remitió su informe justificado a través del archivo electrónico “</w:t>
      </w:r>
      <w:hyperlink r:id="rId9" w:history="1">
        <w:r w:rsidR="000B74BF" w:rsidRPr="000B74BF">
          <w:rPr>
            <w:rFonts w:ascii="Palatino Linotype" w:hAnsi="Palatino Linotype"/>
            <w:sz w:val="24"/>
            <w:szCs w:val="24"/>
          </w:rPr>
          <w:t>DGA-1-CEJ-063-2018.pdf</w:t>
        </w:r>
      </w:hyperlink>
      <w:r w:rsidR="000B74BF">
        <w:rPr>
          <w:rFonts w:ascii="Palatino Linotype" w:hAnsi="Palatino Linotype" w:cs="Arial"/>
          <w:sz w:val="24"/>
          <w:szCs w:val="24"/>
        </w:rPr>
        <w:t xml:space="preserve">”; </w:t>
      </w:r>
      <w:r w:rsidR="00F43BC4">
        <w:rPr>
          <w:rFonts w:ascii="Palatino Linotype" w:hAnsi="Palatino Linotype" w:cs="Arial"/>
          <w:sz w:val="24"/>
          <w:szCs w:val="24"/>
        </w:rPr>
        <w:t xml:space="preserve">el cual será </w:t>
      </w:r>
      <w:r w:rsidR="00F43BC4">
        <w:rPr>
          <w:rFonts w:ascii="Palatino Linotype" w:hAnsi="Palatino Linotype" w:cs="Arial"/>
          <w:sz w:val="24"/>
          <w:szCs w:val="24"/>
        </w:rPr>
        <w:lastRenderedPageBreak/>
        <w:t xml:space="preserve">descrito en el apartado correspondiente; </w:t>
      </w:r>
      <w:r w:rsidR="00F43BC4" w:rsidRPr="00C33D7E">
        <w:rPr>
          <w:rFonts w:ascii="Palatino Linotype" w:hAnsi="Palatino Linotype" w:cs="Arial"/>
          <w:sz w:val="24"/>
          <w:szCs w:val="24"/>
        </w:rPr>
        <w:t xml:space="preserve">mismo que el tres de diciembre del dos mil dieciocho fue puesto a la vista del recurrente para que se manifestara </w:t>
      </w:r>
      <w:r w:rsidR="008310E6" w:rsidRPr="00C33D7E">
        <w:rPr>
          <w:rFonts w:ascii="Palatino Linotype" w:hAnsi="Palatino Linotype" w:cs="Arial"/>
          <w:sz w:val="24"/>
          <w:szCs w:val="24"/>
        </w:rPr>
        <w:t>conforme a su derecho</w:t>
      </w:r>
      <w:r w:rsidR="00F43BC4" w:rsidRPr="00C33D7E">
        <w:rPr>
          <w:rFonts w:ascii="Palatino Linotype" w:hAnsi="Palatino Linotype" w:cs="Arial"/>
          <w:sz w:val="24"/>
          <w:szCs w:val="24"/>
        </w:rPr>
        <w:t xml:space="preserve">, </w:t>
      </w:r>
      <w:r w:rsidR="008310E6" w:rsidRPr="00C33D7E">
        <w:rPr>
          <w:rFonts w:ascii="Palatino Linotype" w:hAnsi="Palatino Linotype" w:cs="Arial"/>
          <w:sz w:val="24"/>
          <w:szCs w:val="24"/>
        </w:rPr>
        <w:t xml:space="preserve">sin que hiciera manifestación alguna dentro del término concedido. </w:t>
      </w:r>
    </w:p>
    <w:p w:rsidR="00BA0E0F" w:rsidRDefault="00BA0E0F" w:rsidP="00B42F8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sz w:val="24"/>
          <w:szCs w:val="24"/>
        </w:rPr>
      </w:pPr>
      <w:r w:rsidRPr="00D346C0">
        <w:rPr>
          <w:rFonts w:ascii="Palatino Linotype" w:hAnsi="Palatino Linotype"/>
          <w:b/>
          <w:sz w:val="24"/>
          <w:szCs w:val="24"/>
        </w:rPr>
        <w:t xml:space="preserve">7. Cierre de instrucción. </w:t>
      </w:r>
      <w:r w:rsidR="00C33D7E">
        <w:rPr>
          <w:rFonts w:ascii="Palatino Linotype" w:hAnsi="Palatino Linotype"/>
          <w:sz w:val="24"/>
          <w:szCs w:val="24"/>
        </w:rPr>
        <w:t>En fecha once</w:t>
      </w:r>
      <w:r w:rsidR="00F43BC4">
        <w:rPr>
          <w:rFonts w:ascii="Palatino Linotype" w:hAnsi="Palatino Linotype"/>
          <w:sz w:val="24"/>
          <w:szCs w:val="24"/>
        </w:rPr>
        <w:t xml:space="preserve"> de diciembre</w:t>
      </w:r>
      <w:r w:rsidRPr="00D346C0">
        <w:rPr>
          <w:rFonts w:ascii="Palatino Linotype" w:hAnsi="Palatino Linotype"/>
          <w:sz w:val="24"/>
          <w:szCs w:val="24"/>
        </w:rPr>
        <w:t xml:space="preserve"> de dos mil dieciocho el Comisionado ponente determinó el cierre de instrucción en términos de la fracción VI del artículo 185 de la Ley de Transparencia y Acceso a la Información Pública del Estado de México y Municipios.</w:t>
      </w:r>
    </w:p>
    <w:p w:rsidR="00F43BC4" w:rsidRPr="00851545" w:rsidRDefault="00F43BC4" w:rsidP="00F43BC4">
      <w:pPr>
        <w:widowControl w:val="0"/>
        <w:autoSpaceDE w:val="0"/>
        <w:autoSpaceDN w:val="0"/>
        <w:adjustRightInd w:val="0"/>
        <w:spacing w:before="240" w:after="240" w:line="360" w:lineRule="auto"/>
        <w:jc w:val="both"/>
        <w:rPr>
          <w:rFonts w:ascii="Palatino Linotype" w:hAnsi="Palatino Linotype"/>
          <w:b/>
        </w:rPr>
      </w:pPr>
      <w:r>
        <w:rPr>
          <w:rFonts w:ascii="Palatino Linotype" w:hAnsi="Palatino Linotype"/>
          <w:b/>
        </w:rPr>
        <w:t>8</w:t>
      </w:r>
      <w:r w:rsidRPr="00851545">
        <w:rPr>
          <w:rFonts w:ascii="Palatino Linotype" w:hAnsi="Palatino Linotype"/>
          <w:b/>
        </w:rPr>
        <w:t xml:space="preserve">.- </w:t>
      </w:r>
      <w:r w:rsidRPr="00933C9F">
        <w:rPr>
          <w:rFonts w:ascii="Palatino Linotype" w:hAnsi="Palatino Linotype"/>
          <w:b/>
        </w:rPr>
        <w:t>Ampliación del plazo para emitir resolución</w:t>
      </w:r>
      <w:r w:rsidRPr="00933C9F">
        <w:rPr>
          <w:rFonts w:ascii="Palatino Linotype" w:hAnsi="Palatino Linotype"/>
        </w:rPr>
        <w:t xml:space="preserve">. En fecha </w:t>
      </w:r>
      <w:r>
        <w:rPr>
          <w:rFonts w:ascii="Palatino Linotype" w:hAnsi="Palatino Linotype"/>
        </w:rPr>
        <w:t>tres de diciembre</w:t>
      </w:r>
      <w:r w:rsidRPr="00933C9F">
        <w:rPr>
          <w:rFonts w:ascii="Palatino Linotype" w:hAnsi="Palatino Linotype"/>
        </w:rPr>
        <w:t xml:space="preserve"> de dos mil dieciocho, este Instituto con fundamento en el artículo 181, párrafo tercero, de la Ley de Transparencia y Acceso a la Información Pública del Estado de México y Municipios,</w:t>
      </w:r>
      <w:r>
        <w:rPr>
          <w:rFonts w:ascii="Palatino Linotype" w:hAnsi="Palatino Linotype"/>
        </w:rPr>
        <w:t xml:space="preserve"> </w:t>
      </w:r>
      <w:r w:rsidRPr="00933C9F">
        <w:rPr>
          <w:rFonts w:ascii="Palatino Linotype" w:hAnsi="Palatino Linotype"/>
        </w:rPr>
        <w:t>determinó mediante el acuerdo respectivo, ampliar por quince días hábiles adicionales el plazo para emitir la presente resolución a fin de realizar un mejor estudio del asunto</w:t>
      </w:r>
      <w:r>
        <w:rPr>
          <w:rFonts w:ascii="Palatino Linotype" w:hAnsi="Palatino Linotype"/>
        </w:rPr>
        <w:t>.</w:t>
      </w:r>
    </w:p>
    <w:p w:rsidR="00BA0E0F" w:rsidRDefault="00BA0E0F" w:rsidP="00BA0E0F">
      <w:pPr>
        <w:pStyle w:val="Prrafodelista"/>
        <w:numPr>
          <w:ilvl w:val="0"/>
          <w:numId w:val="1"/>
        </w:numPr>
        <w:spacing w:before="240" w:after="240" w:line="360" w:lineRule="auto"/>
        <w:ind w:left="720"/>
        <w:contextualSpacing/>
        <w:jc w:val="center"/>
        <w:rPr>
          <w:rFonts w:ascii="Palatino Linotype" w:hAnsi="Palatino Linotype" w:cs="Arial"/>
          <w:b/>
          <w:sz w:val="24"/>
          <w:szCs w:val="24"/>
        </w:rPr>
      </w:pPr>
      <w:r w:rsidRPr="00D346C0">
        <w:rPr>
          <w:rFonts w:ascii="Palatino Linotype" w:hAnsi="Palatino Linotype" w:cs="Arial"/>
          <w:b/>
          <w:sz w:val="24"/>
          <w:szCs w:val="24"/>
        </w:rPr>
        <w:t xml:space="preserve">C O N S I D E R </w:t>
      </w:r>
      <w:r>
        <w:rPr>
          <w:rFonts w:ascii="Palatino Linotype" w:hAnsi="Palatino Linotype" w:cs="Arial"/>
          <w:b/>
          <w:sz w:val="24"/>
          <w:szCs w:val="24"/>
        </w:rPr>
        <w:t>A N D O:</w:t>
      </w:r>
    </w:p>
    <w:p w:rsidR="00F02F8C" w:rsidRDefault="00BA0E0F" w:rsidP="00F85B13">
      <w:pPr>
        <w:spacing w:before="240" w:after="240" w:line="360" w:lineRule="auto"/>
        <w:jc w:val="both"/>
        <w:rPr>
          <w:rFonts w:ascii="Palatino Linotype" w:hAnsi="Palatino Linotype"/>
          <w:shd w:val="clear" w:color="auto" w:fill="FFFFFF"/>
        </w:rPr>
      </w:pPr>
      <w:r>
        <w:rPr>
          <w:rFonts w:ascii="Palatino Linotype" w:hAnsi="Palatino Linotype" w:cs="Arial"/>
          <w:b/>
        </w:rPr>
        <w:t xml:space="preserve">Primero. Competencia. </w:t>
      </w:r>
      <w:r>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Pr>
          <w:rStyle w:val="apple-converted-space"/>
          <w:rFonts w:ascii="Palatino Linotype" w:hAnsi="Palatino Linotype"/>
          <w:shd w:val="clear" w:color="auto" w:fill="FFFFFF"/>
        </w:rPr>
        <w:t xml:space="preserve"> </w:t>
      </w:r>
      <w:r>
        <w:rPr>
          <w:rFonts w:ascii="Palatino Linotype" w:hAnsi="Palatino Linotype" w:cs="Arial"/>
        </w:rPr>
        <w:t xml:space="preserve">9, fracciones I y XXIV y 11 </w:t>
      </w:r>
      <w:r>
        <w:rPr>
          <w:rFonts w:ascii="Palatino Linotype" w:hAnsi="Palatino Linotype"/>
          <w:shd w:val="clear" w:color="auto" w:fill="FFFFFF"/>
        </w:rPr>
        <w:lastRenderedPageBreak/>
        <w:t>del Reglamento Interior del Instituto de Transparencia, Acceso a la Información Pública y Protección de Datos Personales del Estado de México y Municipios.</w:t>
      </w:r>
    </w:p>
    <w:p w:rsidR="00F43BC4" w:rsidRDefault="00F43BC4" w:rsidP="00F43BC4">
      <w:pPr>
        <w:spacing w:before="240" w:after="240" w:line="360" w:lineRule="auto"/>
        <w:jc w:val="both"/>
        <w:rPr>
          <w:rFonts w:ascii="Palatino Linotype" w:eastAsia="Palatino Linotype" w:hAnsi="Palatino Linotype" w:cs="Palatino Linotype"/>
        </w:rPr>
      </w:pPr>
      <w:r w:rsidRPr="00911351">
        <w:rPr>
          <w:rFonts w:ascii="Palatino Linotype" w:hAnsi="Palatino Linotype" w:cs="Arial"/>
          <w:b/>
        </w:rPr>
        <w:t>Segundo. Oportunidad y Procedibilidad del Recurso de Revisión</w:t>
      </w:r>
      <w:r w:rsidRPr="00911351">
        <w:rPr>
          <w:rFonts w:ascii="Palatino Linotype" w:hAnsi="Palatino Linotype" w:cs="Arial"/>
        </w:rPr>
        <w:t>. De con</w:t>
      </w:r>
      <w:r>
        <w:rPr>
          <w:rFonts w:ascii="Palatino Linotype" w:hAnsi="Palatino Linotype" w:cs="Arial"/>
        </w:rPr>
        <w:t>formidad con los requisitos de O</w:t>
      </w:r>
      <w:r w:rsidRPr="00911351">
        <w:rPr>
          <w:rFonts w:ascii="Palatino Linotype" w:hAnsi="Palatino Linotype" w:cs="Arial"/>
        </w:rPr>
        <w:t xml:space="preserve">portunidad y Procedibilidad que deben reunir los recursos de revisión interpuestos, previstos en los artículos 178 y 180 de la </w:t>
      </w:r>
      <w:r w:rsidRPr="00911351">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w:t>
      </w:r>
      <w:r>
        <w:rPr>
          <w:rFonts w:ascii="Palatino Linotype" w:hAnsi="Palatino Linotype" w:cs="Arial"/>
          <w:lang w:eastAsia="es-MX"/>
        </w:rPr>
        <w:t xml:space="preserve">primer artículo de referencia; toda vez, que el Sujeto Obligado emitió su respuesta a la solicitud planteada por el particular en fecha veintiuno de septiembre del año dos mil dieciocho </w:t>
      </w:r>
      <w:r>
        <w:rPr>
          <w:rFonts w:ascii="Palatino Linotype" w:eastAsia="Palatino Linotype" w:hAnsi="Palatino Linotype" w:cs="Palatino Linotype"/>
        </w:rPr>
        <w:t>y el recurrente presentó su recurso de revisión el doce de octubre del año en curso, esto es al décimo quinto día hábil siguiente de aquel en que tuvo conocimiento 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BA0E0F" w:rsidRDefault="00BA0E0F" w:rsidP="00F85B13">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Así también, por cuanto hace a la procedibilidad del recurso de revisión una vez realizado el análisis del formato de interposición</w:t>
      </w:r>
      <w:r>
        <w:rPr>
          <w:rStyle w:val="normaltextrun"/>
          <w:rFonts w:ascii="Palatino Linotype" w:hAnsi="Palatino Linotype" w:cs="Segoe UI"/>
        </w:rPr>
        <w:t xml:space="preserve"> del recurso, se acreditan plenamente de todos y cada uno de los elementos formales exigidos por el artículo 180 de la</w:t>
      </w:r>
      <w:r>
        <w:rPr>
          <w:rStyle w:val="apple-converted-space"/>
          <w:rFonts w:ascii="Palatino Linotype" w:hAnsi="Palatino Linotype" w:cs="Segoe UI"/>
        </w:rPr>
        <w:t xml:space="preserve"> </w:t>
      </w:r>
      <w:r>
        <w:rPr>
          <w:rStyle w:val="normaltextrun"/>
          <w:rFonts w:ascii="Palatino Linotype" w:hAnsi="Palatino Linotype" w:cs="Segoe UI"/>
        </w:rPr>
        <w:t>Ley de Transparencia y Acceso a la Información Pública del Estado de México y Municipios, en atención a que fue presentado mediante el formato visible en</w:t>
      </w:r>
      <w:r>
        <w:rPr>
          <w:rStyle w:val="apple-converted-space"/>
          <w:rFonts w:ascii="Palatino Linotype" w:hAnsi="Palatino Linotype" w:cs="Segoe UI"/>
        </w:rPr>
        <w:t xml:space="preserve"> </w:t>
      </w:r>
      <w:r>
        <w:rPr>
          <w:rStyle w:val="normaltextrun"/>
          <w:rFonts w:ascii="Palatino Linotype" w:hAnsi="Palatino Linotype" w:cs="Segoe UI"/>
          <w:b/>
          <w:bCs/>
        </w:rPr>
        <w:t>EL</w:t>
      </w:r>
      <w:r>
        <w:rPr>
          <w:rStyle w:val="apple-converted-space"/>
          <w:rFonts w:ascii="Palatino Linotype" w:hAnsi="Palatino Linotype" w:cs="Segoe UI"/>
        </w:rPr>
        <w:t xml:space="preserve"> </w:t>
      </w:r>
      <w:r>
        <w:rPr>
          <w:rStyle w:val="normaltextrun"/>
          <w:rFonts w:ascii="Palatino Linotype" w:hAnsi="Palatino Linotype" w:cs="Segoe UI"/>
          <w:b/>
          <w:bCs/>
        </w:rPr>
        <w:t>SAIMEX</w:t>
      </w:r>
      <w:r w:rsidR="00F85B13">
        <w:rPr>
          <w:rStyle w:val="normaltextrun"/>
          <w:rFonts w:ascii="Palatino Linotype" w:hAnsi="Palatino Linotype" w:cs="Segoe UI"/>
        </w:rPr>
        <w:t>.</w:t>
      </w:r>
    </w:p>
    <w:p w:rsidR="00F85B13" w:rsidRDefault="00F85B13" w:rsidP="00F85B13">
      <w:pPr>
        <w:pStyle w:val="paragraph"/>
        <w:spacing w:before="0" w:beforeAutospacing="0" w:after="240" w:afterAutospacing="0" w:line="360" w:lineRule="auto"/>
        <w:ind w:right="-147"/>
        <w:contextualSpacing/>
        <w:jc w:val="both"/>
        <w:textAlignment w:val="baseline"/>
        <w:rPr>
          <w:rStyle w:val="normaltextrun"/>
          <w:rFonts w:cs="Segoe UI"/>
        </w:rPr>
      </w:pPr>
    </w:p>
    <w:p w:rsidR="00BA0E0F" w:rsidRDefault="00BA0E0F" w:rsidP="00BA0E0F">
      <w:pPr>
        <w:pStyle w:val="paragraph"/>
        <w:spacing w:before="0" w:beforeAutospacing="0" w:after="240" w:afterAutospacing="0" w:line="360" w:lineRule="auto"/>
        <w:ind w:right="-150"/>
        <w:jc w:val="both"/>
        <w:textAlignment w:val="baseline"/>
        <w:rPr>
          <w:rStyle w:val="eop"/>
        </w:rPr>
      </w:pPr>
      <w:r>
        <w:rPr>
          <w:rStyle w:val="normaltextrun"/>
          <w:rFonts w:ascii="Palatino Linotype" w:hAnsi="Palatino Linotype" w:cs="Segoe UI"/>
        </w:rPr>
        <w:t>Ahora bien resulta procedente la interposición del recurso, según lo aducido por la recurrente en sus motivos de inconformidad, de acuerdo al artículo</w:t>
      </w:r>
      <w:r>
        <w:rPr>
          <w:rStyle w:val="apple-converted-space"/>
          <w:rFonts w:ascii="Palatino Linotype" w:hAnsi="Palatino Linotype" w:cs="Segoe UI"/>
        </w:rPr>
        <w:t xml:space="preserve"> </w:t>
      </w:r>
      <w:r w:rsidR="00C33D7E">
        <w:rPr>
          <w:rStyle w:val="normaltextrun"/>
          <w:rFonts w:ascii="Palatino Linotype" w:hAnsi="Palatino Linotype" w:cs="Segoe UI"/>
        </w:rPr>
        <w:t>179, fracción,</w:t>
      </w:r>
      <w:r>
        <w:rPr>
          <w:rStyle w:val="normaltextrun"/>
          <w:rFonts w:ascii="Palatino Linotype" w:hAnsi="Palatino Linotype" w:cs="Segoe UI"/>
        </w:rPr>
        <w:t xml:space="preserve"> V </w:t>
      </w:r>
      <w:r>
        <w:rPr>
          <w:rStyle w:val="normaltextrun"/>
          <w:rFonts w:ascii="Palatino Linotype" w:hAnsi="Palatino Linotype" w:cs="Segoe UI"/>
        </w:rPr>
        <w:lastRenderedPageBreak/>
        <w:t>de la Ley de Transparencia y Acceso a la Información Pública del Estado de México y Municipios; que a la letra dice:</w:t>
      </w:r>
    </w:p>
    <w:p w:rsidR="00BA0E0F" w:rsidRDefault="00BA0E0F" w:rsidP="00BA0E0F">
      <w:pPr>
        <w:pStyle w:val="paragraph"/>
        <w:spacing w:before="240" w:beforeAutospacing="0" w:after="240" w:afterAutospacing="0"/>
        <w:ind w:left="993" w:right="1041"/>
        <w:jc w:val="both"/>
        <w:textAlignment w:val="baseline"/>
        <w:rPr>
          <w:i/>
        </w:rPr>
      </w:pPr>
      <w:r>
        <w:rPr>
          <w:rStyle w:val="normaltextrun"/>
          <w:rFonts w:ascii="Palatino Linotype" w:hAnsi="Palatino Linotype" w:cs="Segoe UI"/>
          <w:b/>
          <w:bCs/>
          <w:i/>
          <w:iCs/>
        </w:rPr>
        <w:t>“</w:t>
      </w:r>
      <w:r>
        <w:rPr>
          <w:rFonts w:ascii="Palatino Linotype" w:hAnsi="Palatino Linotype"/>
          <w:b/>
          <w:i/>
        </w:rPr>
        <w:t>Artículo 179</w:t>
      </w:r>
      <w:r>
        <w:rPr>
          <w:rFonts w:ascii="Palatino Linotype" w:hAnsi="Palatino Linotype"/>
          <w:i/>
        </w:rPr>
        <w:t xml:space="preserve">. </w:t>
      </w:r>
      <w:r>
        <w:rPr>
          <w:rFonts w:ascii="Palatino Linotype" w:hAnsi="Palatino Linotype"/>
          <w:b/>
          <w:i/>
        </w:rPr>
        <w:t>El recurso de revisión</w:t>
      </w:r>
      <w:r>
        <w:rPr>
          <w:rFonts w:ascii="Palatino Linotype" w:hAnsi="Palatino Linotype"/>
          <w:i/>
        </w:rPr>
        <w:t xml:space="preserve"> es un medio de protección que la Ley otorga a los particulares, para hacer valer su derecho de acceso a la información pública</w:t>
      </w:r>
      <w:r>
        <w:rPr>
          <w:rFonts w:ascii="Palatino Linotype" w:hAnsi="Palatino Linotype"/>
          <w:b/>
          <w:i/>
        </w:rPr>
        <w:t>, y procederá en contra de las siguientes causas</w:t>
      </w:r>
      <w:r>
        <w:rPr>
          <w:rFonts w:ascii="Palatino Linotype" w:hAnsi="Palatino Linotype"/>
          <w:i/>
        </w:rPr>
        <w:t>:</w:t>
      </w:r>
    </w:p>
    <w:p w:rsidR="00BA0E0F" w:rsidRDefault="00F02F8C" w:rsidP="00BA0E0F">
      <w:pPr>
        <w:pStyle w:val="paragraph"/>
        <w:spacing w:before="240" w:beforeAutospacing="0" w:after="240" w:afterAutospacing="0" w:line="360" w:lineRule="auto"/>
        <w:ind w:left="993" w:right="1041"/>
        <w:contextualSpacing/>
        <w:jc w:val="both"/>
        <w:textAlignment w:val="baseline"/>
        <w:rPr>
          <w:rFonts w:ascii="Palatino Linotype" w:hAnsi="Palatino Linotype"/>
          <w:i/>
        </w:rPr>
      </w:pPr>
      <w:r>
        <w:rPr>
          <w:rFonts w:ascii="Palatino Linotype" w:hAnsi="Palatino Linotype"/>
          <w:b/>
          <w:i/>
        </w:rPr>
        <w:t>V</w:t>
      </w:r>
      <w:r w:rsidR="00BA0E0F">
        <w:rPr>
          <w:rFonts w:ascii="Palatino Linotype" w:hAnsi="Palatino Linotype"/>
          <w:b/>
          <w:i/>
        </w:rPr>
        <w:t>.</w:t>
      </w:r>
      <w:r w:rsidR="00BA0E0F">
        <w:rPr>
          <w:rFonts w:ascii="Palatino Linotype" w:hAnsi="Palatino Linotype"/>
          <w:i/>
        </w:rPr>
        <w:t xml:space="preserve"> La </w:t>
      </w:r>
      <w:r>
        <w:rPr>
          <w:rFonts w:ascii="Palatino Linotype" w:hAnsi="Palatino Linotype"/>
          <w:i/>
        </w:rPr>
        <w:t xml:space="preserve">entrega de información </w:t>
      </w:r>
      <w:r w:rsidR="00F43BC4">
        <w:rPr>
          <w:rFonts w:ascii="Palatino Linotype" w:hAnsi="Palatino Linotype"/>
          <w:i/>
        </w:rPr>
        <w:t>incompleta</w:t>
      </w:r>
      <w:r w:rsidR="00BA0E0F">
        <w:rPr>
          <w:rFonts w:ascii="Palatino Linotype" w:hAnsi="Palatino Linotype"/>
          <w:i/>
        </w:rPr>
        <w:t>;…”(Sic)</w:t>
      </w:r>
    </w:p>
    <w:p w:rsidR="00BA0E0F" w:rsidRDefault="00BA0E0F" w:rsidP="00BA0E0F">
      <w:pPr>
        <w:pStyle w:val="paragraph"/>
        <w:spacing w:before="240" w:beforeAutospacing="0" w:after="240" w:afterAutospacing="0" w:line="360" w:lineRule="auto"/>
        <w:ind w:right="-91"/>
        <w:contextualSpacing/>
        <w:jc w:val="both"/>
        <w:textAlignment w:val="baseline"/>
        <w:rPr>
          <w:rStyle w:val="normaltextrun"/>
          <w:rFonts w:cs="Segoe UI"/>
        </w:rPr>
      </w:pPr>
    </w:p>
    <w:p w:rsidR="00BA0E0F" w:rsidRPr="008D1996" w:rsidRDefault="002563BB" w:rsidP="00BA0E0F">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r>
        <w:rPr>
          <w:rStyle w:val="normaltextrun"/>
          <w:rFonts w:ascii="Palatino Linotype" w:hAnsi="Palatino Linotype" w:cs="Segoe UI"/>
        </w:rPr>
        <w:t>Lo anterior es así ya que el</w:t>
      </w:r>
      <w:r w:rsidR="00BA0E0F" w:rsidRPr="008D1996">
        <w:rPr>
          <w:rStyle w:val="normaltextrun"/>
          <w:rFonts w:ascii="Palatino Linotype" w:hAnsi="Palatino Linotype" w:cs="Segoe UI"/>
        </w:rPr>
        <w:t xml:space="preserve"> recurrente alude en sus razones o motivos de inconformidad que </w:t>
      </w:r>
      <w:r w:rsidR="008D1996" w:rsidRPr="008D1996">
        <w:rPr>
          <w:rStyle w:val="normaltextrun"/>
          <w:rFonts w:ascii="Palatino Linotype" w:hAnsi="Palatino Linotype" w:cs="Segoe UI"/>
        </w:rPr>
        <w:t>“</w:t>
      </w:r>
      <w:r w:rsidR="00F43BC4">
        <w:rPr>
          <w:rStyle w:val="normaltextrun"/>
          <w:rFonts w:ascii="Palatino Linotype" w:hAnsi="Palatino Linotype" w:cs="Segoe UI"/>
        </w:rPr>
        <w:t>la información es incompleta al no transparentar los conceptos delos ingresos, sueldo compensaciones, sobresueldos, conceptos de cada deducción” (Sic).</w:t>
      </w:r>
    </w:p>
    <w:p w:rsidR="002563BB" w:rsidRPr="000818BF" w:rsidRDefault="00BA0E0F" w:rsidP="002563BB">
      <w:pPr>
        <w:spacing w:before="240" w:after="240" w:line="360" w:lineRule="auto"/>
        <w:jc w:val="both"/>
        <w:rPr>
          <w:rFonts w:ascii="Palatino Linotype" w:hAnsi="Palatino Linotype" w:cs="Arial"/>
          <w:b/>
        </w:rPr>
      </w:pPr>
      <w:r>
        <w:rPr>
          <w:rFonts w:ascii="Palatino Linotype" w:hAnsi="Palatino Linotype" w:cs="Arial"/>
          <w:b/>
        </w:rPr>
        <w:t>Tercero. Materia de Revisión</w:t>
      </w:r>
      <w:r>
        <w:rPr>
          <w:rFonts w:ascii="Palatino Linotype" w:hAnsi="Palatino Linotype" w:cs="Arial"/>
        </w:rPr>
        <w:t xml:space="preserve">: </w:t>
      </w:r>
      <w:r w:rsidR="002563BB" w:rsidRPr="000818BF">
        <w:rPr>
          <w:rFonts w:ascii="Palatino Linotype" w:hAnsi="Palatino Linotype" w:cs="Arial"/>
        </w:rPr>
        <w:t xml:space="preserve">De la revisión a </w:t>
      </w:r>
      <w:r w:rsidR="002563BB">
        <w:rPr>
          <w:rFonts w:ascii="Palatino Linotype" w:hAnsi="Palatino Linotype" w:cs="Arial"/>
        </w:rPr>
        <w:t>las constancias que obran en el expediente electrónico</w:t>
      </w:r>
      <w:r w:rsidR="002563BB" w:rsidRPr="000818BF">
        <w:rPr>
          <w:rFonts w:ascii="Palatino Linotype" w:hAnsi="Palatino Linotype" w:cs="Arial"/>
        </w:rPr>
        <w:t xml:space="preserve"> se advierte que el tema sobre el que este Instituto se pronunciará será: </w:t>
      </w:r>
      <w:r w:rsidR="002563BB" w:rsidRPr="000818BF">
        <w:rPr>
          <w:rFonts w:ascii="Palatino Linotype" w:hAnsi="Palatino Linotype" w:cs="Arial"/>
          <w:b/>
        </w:rPr>
        <w:t>veri</w:t>
      </w:r>
      <w:r w:rsidR="002563BB">
        <w:rPr>
          <w:rFonts w:ascii="Palatino Linotype" w:hAnsi="Palatino Linotype" w:cs="Arial"/>
          <w:b/>
        </w:rPr>
        <w:t>ficar si la respuesta otorgada por el Sujeto Obligado es adecuada</w:t>
      </w:r>
      <w:r w:rsidR="002563BB" w:rsidRPr="000818BF">
        <w:rPr>
          <w:rFonts w:ascii="Palatino Linotype" w:hAnsi="Palatino Linotype" w:cs="Arial"/>
          <w:b/>
        </w:rPr>
        <w:t xml:space="preserve"> y sufic</w:t>
      </w:r>
      <w:r w:rsidR="002563BB">
        <w:rPr>
          <w:rFonts w:ascii="Palatino Linotype" w:hAnsi="Palatino Linotype" w:cs="Arial"/>
          <w:b/>
        </w:rPr>
        <w:t>iente</w:t>
      </w:r>
      <w:r w:rsidR="002563BB" w:rsidRPr="000818BF">
        <w:rPr>
          <w:rFonts w:ascii="Palatino Linotype" w:hAnsi="Palatino Linotype" w:cs="Arial"/>
          <w:b/>
        </w:rPr>
        <w:t xml:space="preserve"> para satisfacer el derecho de acceso a la información pública </w:t>
      </w:r>
      <w:r w:rsidR="002563BB">
        <w:rPr>
          <w:rFonts w:ascii="Palatino Linotype" w:hAnsi="Palatino Linotype" w:cs="Arial"/>
        </w:rPr>
        <w:t>del</w:t>
      </w:r>
      <w:r w:rsidR="002563BB" w:rsidRPr="000818BF">
        <w:rPr>
          <w:rFonts w:ascii="Palatino Linotype" w:hAnsi="Palatino Linotype" w:cs="Arial"/>
        </w:rPr>
        <w:t xml:space="preserve"> Recurrente, o en su defecto proceder a ordenar la entrega de información oportuna.</w:t>
      </w:r>
    </w:p>
    <w:p w:rsidR="00BD41B2" w:rsidRDefault="00BA0E0F" w:rsidP="00BD41B2">
      <w:pPr>
        <w:spacing w:before="240" w:after="240" w:line="360" w:lineRule="auto"/>
        <w:jc w:val="both"/>
        <w:rPr>
          <w:rFonts w:ascii="Palatino Linotype" w:hAnsi="Palatino Linotype" w:cs="Arial"/>
        </w:rPr>
      </w:pPr>
      <w:r>
        <w:rPr>
          <w:rFonts w:ascii="Palatino Linotype" w:hAnsi="Palatino Linotype" w:cs="Arial"/>
          <w:b/>
        </w:rPr>
        <w:t xml:space="preserve">Cuarto. Estudio de fondo del asunto. </w:t>
      </w:r>
      <w:r>
        <w:rPr>
          <w:rFonts w:ascii="Palatino Linotype" w:hAnsi="Palatino Linotype"/>
        </w:rPr>
        <w:t xml:space="preserve">Del análisis de la solicitud de información motivo del recurso de revisión que </w:t>
      </w:r>
      <w:r w:rsidRPr="00D627AE">
        <w:rPr>
          <w:rFonts w:ascii="Palatino Linotype" w:hAnsi="Palatino Linotype"/>
        </w:rPr>
        <w:t xml:space="preserve">ahora se resuelve se advierte que el particular requirió al </w:t>
      </w:r>
      <w:r w:rsidR="006327B6" w:rsidRPr="00D627AE">
        <w:rPr>
          <w:rFonts w:ascii="Palatino Linotype" w:hAnsi="Palatino Linotype"/>
        </w:rPr>
        <w:t xml:space="preserve">Ayuntamiento de </w:t>
      </w:r>
      <w:r w:rsidR="00F43BC4">
        <w:rPr>
          <w:rFonts w:ascii="Palatino Linotype" w:hAnsi="Palatino Linotype"/>
        </w:rPr>
        <w:t>Naucalpan de Juárez</w:t>
      </w:r>
      <w:r w:rsidR="00C063B0" w:rsidRPr="00D627AE">
        <w:rPr>
          <w:rFonts w:ascii="Palatino Linotype" w:hAnsi="Palatino Linotype"/>
        </w:rPr>
        <w:t>,</w:t>
      </w:r>
      <w:r w:rsidRPr="00D627AE">
        <w:rPr>
          <w:rFonts w:ascii="Palatino Linotype" w:hAnsi="Palatino Linotype"/>
        </w:rPr>
        <w:t xml:space="preserve"> </w:t>
      </w:r>
      <w:r w:rsidR="00BD41B2">
        <w:rPr>
          <w:rFonts w:ascii="Palatino Linotype" w:hAnsi="Palatino Linotype" w:cs="Arial"/>
        </w:rPr>
        <w:t xml:space="preserve">le proporcionara, de cada persona, </w:t>
      </w:r>
      <w:r w:rsidR="00BD41B2">
        <w:rPr>
          <w:rFonts w:ascii="Palatino Linotype" w:hAnsi="Palatino Linotype"/>
        </w:rPr>
        <w:t>sindicalizado, personal de confianza, policía y similares, lo siguiente:</w:t>
      </w:r>
    </w:p>
    <w:p w:rsidR="00BD41B2" w:rsidRPr="00BD41B2" w:rsidRDefault="00BD41B2" w:rsidP="00BD41B2">
      <w:pPr>
        <w:pStyle w:val="Prrafodelista"/>
        <w:numPr>
          <w:ilvl w:val="0"/>
          <w:numId w:val="9"/>
        </w:numPr>
        <w:spacing w:before="240" w:after="240" w:line="360" w:lineRule="auto"/>
        <w:jc w:val="both"/>
        <w:rPr>
          <w:rFonts w:ascii="Palatino Linotype" w:hAnsi="Palatino Linotype"/>
          <w:color w:val="000000"/>
          <w:sz w:val="24"/>
          <w:szCs w:val="24"/>
        </w:rPr>
      </w:pPr>
      <w:r w:rsidRPr="00BD41B2">
        <w:rPr>
          <w:rFonts w:ascii="Palatino Linotype" w:hAnsi="Palatino Linotype"/>
          <w:color w:val="000000"/>
          <w:sz w:val="24"/>
          <w:szCs w:val="24"/>
        </w:rPr>
        <w:lastRenderedPageBreak/>
        <w:t>La Nómina de las dos quincenas de marzo 2018, con el nombre de cada servidor público y funcionario; su sueldo y salario bruto sin excedentes o compensaciones, los conceptos que forman parte del sobresueldo, compensaciones, horas extras, comisiones, apoyos escolares, vales, apoyos en general, excedentes y similares de cada persona en la nómina y lista de raya.</w:t>
      </w:r>
    </w:p>
    <w:p w:rsidR="00F42EBC" w:rsidRDefault="00BA0E0F" w:rsidP="00BD41B2">
      <w:pPr>
        <w:pStyle w:val="paragraph"/>
        <w:spacing w:before="0" w:beforeAutospacing="0" w:after="240" w:afterAutospacing="0" w:line="360" w:lineRule="auto"/>
        <w:ind w:right="-150"/>
        <w:jc w:val="both"/>
        <w:textAlignment w:val="baseline"/>
        <w:rPr>
          <w:rFonts w:ascii="Palatino Linotype" w:hAnsi="Palatino Linotype"/>
        </w:rPr>
      </w:pPr>
      <w:r w:rsidRPr="005507B9">
        <w:rPr>
          <w:rFonts w:ascii="Palatino Linotype" w:hAnsi="Palatino Linotype"/>
        </w:rPr>
        <w:t>Por su parte el Sujeto Obligado emitió su res</w:t>
      </w:r>
      <w:r w:rsidR="00B86734" w:rsidRPr="005507B9">
        <w:rPr>
          <w:rFonts w:ascii="Palatino Linotype" w:hAnsi="Palatino Linotype"/>
        </w:rPr>
        <w:t xml:space="preserve">puesta a través </w:t>
      </w:r>
      <w:r w:rsidR="00F42EBC" w:rsidRPr="005507B9">
        <w:rPr>
          <w:rFonts w:ascii="Palatino Linotype" w:hAnsi="Palatino Linotype"/>
        </w:rPr>
        <w:t>de un documento ad hoc denominado “NÓMINA PUBLICA 18.zip”, por medio del cual informa las dos quincenas de marzo del 2018 en doscientas cuarenta y dos fojas, cada una, con el nombre del servidor público, puesto, dirección, departamento, total de percepciones, total de deducciones y total neto de cada uno de los servidores públicos que conforman al Ayuntamiento de Naucalpan de Juárez.</w:t>
      </w:r>
    </w:p>
    <w:p w:rsidR="005507B9" w:rsidRPr="005507B9" w:rsidRDefault="005507B9" w:rsidP="00BD41B2">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t>Así mismo, el Sujeto Obligado le hace del conocimiento al particular que mediante la Décimo Octava Sesión Ordinaria del Comité de Transparencia del Ayuntamiento de Naucalpan de Juárez, celebrada el 20 de septiembre del 2018, mediante acuerdo número CT/CO/0133/2018, se aprobó la versión pública de la información solicitada; sin embargo, el Sujeto Obligado no adjuntó dicho acuerdo a su respuesta para avalar dicha manifestación.</w:t>
      </w:r>
    </w:p>
    <w:p w:rsidR="00BA0E0F" w:rsidRDefault="00BA0E0F" w:rsidP="00BA0E0F">
      <w:pPr>
        <w:spacing w:before="240" w:after="240" w:line="360" w:lineRule="auto"/>
        <w:jc w:val="both"/>
        <w:rPr>
          <w:rFonts w:ascii="Palatino Linotype" w:hAnsi="Palatino Linotype"/>
        </w:rPr>
      </w:pPr>
      <w:r>
        <w:rPr>
          <w:rFonts w:ascii="Palatino Linotype" w:hAnsi="Palatino Linotype"/>
        </w:rPr>
        <w:t>Derivado de dicha respuesta</w:t>
      </w:r>
      <w:r w:rsidR="000B05D9">
        <w:rPr>
          <w:rFonts w:ascii="Palatino Linotype" w:hAnsi="Palatino Linotype"/>
        </w:rPr>
        <w:t>,</w:t>
      </w:r>
      <w:r>
        <w:rPr>
          <w:rFonts w:ascii="Palatino Linotype" w:hAnsi="Palatino Linotype"/>
        </w:rPr>
        <w:t xml:space="preserve"> el recurrente manifestó en sus razones </w:t>
      </w:r>
      <w:r w:rsidR="000B05D9">
        <w:rPr>
          <w:rFonts w:ascii="Palatino Linotype" w:hAnsi="Palatino Linotype"/>
        </w:rPr>
        <w:t xml:space="preserve">o motivos de inconformidad que </w:t>
      </w:r>
      <w:r w:rsidR="008D1996">
        <w:rPr>
          <w:rFonts w:ascii="Palatino Linotype" w:hAnsi="Palatino Linotype"/>
        </w:rPr>
        <w:t>la respuesta del</w:t>
      </w:r>
      <w:r w:rsidR="00912D0E">
        <w:rPr>
          <w:rFonts w:ascii="Palatino Linotype" w:hAnsi="Palatino Linotype"/>
        </w:rPr>
        <w:t xml:space="preserve"> Sujeto Obligado </w:t>
      </w:r>
      <w:r w:rsidR="005507B9">
        <w:rPr>
          <w:rFonts w:ascii="Palatino Linotype" w:hAnsi="Palatino Linotype"/>
        </w:rPr>
        <w:t>es incompleta al faltar la información correspondiente a los conceptos de los ingresos, sueldo compensaciones, sobresueldos y conceptos de cada deducción.</w:t>
      </w:r>
    </w:p>
    <w:p w:rsidR="00871460" w:rsidRDefault="002563BB" w:rsidP="00BA0E0F">
      <w:pPr>
        <w:spacing w:before="240" w:after="240" w:line="360" w:lineRule="auto"/>
        <w:jc w:val="both"/>
        <w:rPr>
          <w:rFonts w:ascii="Palatino Linotype" w:hAnsi="Palatino Linotype"/>
        </w:rPr>
      </w:pPr>
      <w:r>
        <w:rPr>
          <w:rFonts w:ascii="Palatino Linotype" w:hAnsi="Palatino Linotype"/>
        </w:rPr>
        <w:t>Ante la interposición del recurso de r</w:t>
      </w:r>
      <w:r w:rsidR="00BA0E0F">
        <w:rPr>
          <w:rFonts w:ascii="Palatino Linotype" w:hAnsi="Palatino Linotype"/>
        </w:rPr>
        <w:t>evisión</w:t>
      </w:r>
      <w:r w:rsidR="00942AB7">
        <w:rPr>
          <w:rFonts w:ascii="Palatino Linotype" w:hAnsi="Palatino Linotype"/>
        </w:rPr>
        <w:t>,</w:t>
      </w:r>
      <w:r w:rsidR="00BA0E0F">
        <w:rPr>
          <w:rFonts w:ascii="Palatino Linotype" w:hAnsi="Palatino Linotype"/>
        </w:rPr>
        <w:t xml:space="preserve"> </w:t>
      </w:r>
      <w:r w:rsidR="00942AB7">
        <w:rPr>
          <w:rFonts w:ascii="Palatino Linotype" w:hAnsi="Palatino Linotype"/>
        </w:rPr>
        <w:t>el Sujeto Obligado a través de su Informe Justificado, manifiesta que su Dirección General de Administración</w:t>
      </w:r>
      <w:r w:rsidR="008310E6">
        <w:rPr>
          <w:rFonts w:ascii="Palatino Linotype" w:hAnsi="Palatino Linotype"/>
        </w:rPr>
        <w:t xml:space="preserve">, </w:t>
      </w:r>
      <w:r w:rsidR="008310E6">
        <w:rPr>
          <w:rFonts w:ascii="Palatino Linotype" w:hAnsi="Palatino Linotype"/>
        </w:rPr>
        <w:lastRenderedPageBreak/>
        <w:t xml:space="preserve">procesa información respecto de sus obligaciones con el Órgano de Fiscalización a efecto de comprobar la ejecución correcta del gasto, pero al poseer información en los medios determinados por disposiciones fiscales, no implica que el Sujeto Obligado pueda entregar información de la que no es titular </w:t>
      </w:r>
      <w:r w:rsidR="00871460">
        <w:rPr>
          <w:rFonts w:ascii="Palatino Linotype" w:hAnsi="Palatino Linotype"/>
        </w:rPr>
        <w:t>de los recibos de percepciones quincenales y que no puede disponer de la misma, sin la autorización de su titular, por consiguiente, el Sujeto Obligado considera que el documento idóneo para dar respuesta la solicitud de información del particular es la “nómina”, la cual deberá ser proporcionada en versión pública.</w:t>
      </w:r>
    </w:p>
    <w:p w:rsidR="00871460" w:rsidRDefault="00871460" w:rsidP="00BA0E0F">
      <w:pPr>
        <w:spacing w:before="240" w:after="240" w:line="360" w:lineRule="auto"/>
        <w:jc w:val="both"/>
        <w:rPr>
          <w:rFonts w:ascii="Palatino Linotype" w:hAnsi="Palatino Linotype"/>
        </w:rPr>
      </w:pPr>
      <w:r>
        <w:rPr>
          <w:rFonts w:ascii="Palatino Linotype" w:hAnsi="Palatino Linotype"/>
        </w:rPr>
        <w:t>Acep</w:t>
      </w:r>
      <w:r w:rsidR="008B2642">
        <w:rPr>
          <w:rFonts w:ascii="Palatino Linotype" w:hAnsi="Palatino Linotype"/>
        </w:rPr>
        <w:t xml:space="preserve">tando el Sujeto Obligado, que la información solicitada se encuentra en el archivo generado por la Dirección General de Administración en ejercicio de sus atribuciones como </w:t>
      </w:r>
      <w:r>
        <w:rPr>
          <w:rFonts w:ascii="Palatino Linotype" w:hAnsi="Palatino Linotype"/>
        </w:rPr>
        <w:t>“nómina”</w:t>
      </w:r>
      <w:r w:rsidR="008B2642">
        <w:rPr>
          <w:rFonts w:ascii="Palatino Linotype" w:hAnsi="Palatino Linotype"/>
        </w:rPr>
        <w:t xml:space="preserve"> y que la misma contiene información confidencial, clasificada así por su naturaleza por contener información relativa al Registro Federal de Contribuyentes (RFC), Número de Empleado, Clave Única de Registro d</w:t>
      </w:r>
      <w:r w:rsidR="004A3524">
        <w:rPr>
          <w:rFonts w:ascii="Palatino Linotype" w:hAnsi="Palatino Linotype"/>
        </w:rPr>
        <w:t>e Población (CURP),</w:t>
      </w:r>
      <w:r w:rsidR="008B2642">
        <w:rPr>
          <w:rFonts w:ascii="Palatino Linotype" w:hAnsi="Palatino Linotype"/>
        </w:rPr>
        <w:t xml:space="preserve"> la clave de seguridad social (ISSEMYM),</w:t>
      </w:r>
      <w:r w:rsidR="004A3524">
        <w:rPr>
          <w:rFonts w:ascii="Palatino Linotype" w:hAnsi="Palatino Linotype"/>
        </w:rPr>
        <w:t xml:space="preserve"> el método y forma de pago y las cuotas sindicales,</w:t>
      </w:r>
      <w:r w:rsidR="008B2642">
        <w:rPr>
          <w:rFonts w:ascii="Palatino Linotype" w:hAnsi="Palatino Linotype"/>
        </w:rPr>
        <w:t xml:space="preserve"> decretándose mediante acuerdo número DGA/CI-001-2017, la versión pública en la que se omitan los datos confidenciales y los datos personales concernientes a la persona física identificada o identificable; así mismo informa que de los recibos de nómina en referencia existe información concerniente a los servidores públicos que se encuentran encargados de la seguridad, la cual puede poner en riesgo a estos, por lo que su entrega debe ser de forma disociada</w:t>
      </w:r>
      <w:r w:rsidR="00B10709">
        <w:rPr>
          <w:rFonts w:ascii="Palatino Linotype" w:hAnsi="Palatino Linotype"/>
        </w:rPr>
        <w:t>.</w:t>
      </w:r>
    </w:p>
    <w:p w:rsidR="00B10709" w:rsidRDefault="00B10709" w:rsidP="00BA0E0F">
      <w:pPr>
        <w:spacing w:before="240" w:after="240" w:line="360" w:lineRule="auto"/>
        <w:jc w:val="both"/>
        <w:rPr>
          <w:rFonts w:ascii="Palatino Linotype" w:hAnsi="Palatino Linotype"/>
        </w:rPr>
      </w:pPr>
      <w:r>
        <w:rPr>
          <w:rFonts w:ascii="Palatino Linotype" w:hAnsi="Palatino Linotype"/>
        </w:rPr>
        <w:t>Finalmente, hace mención que la información fue entregada en versión pública en atención al acuerdo número RRA 0310/16, de fecha 10 de agosto de 2016</w:t>
      </w:r>
      <w:r w:rsidR="004A3524">
        <w:rPr>
          <w:rFonts w:ascii="Palatino Linotype" w:hAnsi="Palatino Linotype"/>
        </w:rPr>
        <w:t xml:space="preserve"> emitido por el Instituto de Transparencia, Acceso a la Información y Protección de Datos Personales</w:t>
      </w:r>
      <w:r>
        <w:rPr>
          <w:rFonts w:ascii="Palatino Linotype" w:hAnsi="Palatino Linotype"/>
        </w:rPr>
        <w:t xml:space="preserve">, solicitando que se deseche el presente recurso de revisión por </w:t>
      </w:r>
      <w:r>
        <w:rPr>
          <w:rFonts w:ascii="Palatino Linotype" w:hAnsi="Palatino Linotype"/>
        </w:rPr>
        <w:lastRenderedPageBreak/>
        <w:t>improcedente y porque se entregó la información ya que no afecto el derecho a la información.</w:t>
      </w:r>
    </w:p>
    <w:p w:rsidR="00B10709" w:rsidRDefault="00B10709" w:rsidP="00BA0E0F">
      <w:pPr>
        <w:spacing w:before="240" w:after="240" w:line="360" w:lineRule="auto"/>
        <w:jc w:val="both"/>
        <w:rPr>
          <w:rFonts w:ascii="Palatino Linotype" w:hAnsi="Palatino Linotype"/>
        </w:rPr>
      </w:pPr>
      <w:r>
        <w:rPr>
          <w:rFonts w:ascii="Palatino Linotype" w:hAnsi="Palatino Linotype"/>
        </w:rPr>
        <w:t>Información, que se le hizo saber al recurrente para que se manifestara conforme a su derecho, sin que hiciera manifestación alguna dentro de los tres días concedidos para ello.</w:t>
      </w:r>
    </w:p>
    <w:p w:rsidR="00BA0E0F" w:rsidRDefault="00B27745" w:rsidP="00BA0E0F">
      <w:pPr>
        <w:spacing w:before="240" w:after="240" w:line="360" w:lineRule="auto"/>
        <w:jc w:val="both"/>
        <w:rPr>
          <w:rFonts w:ascii="Palatino Linotype" w:hAnsi="Palatino Linotype"/>
        </w:rPr>
      </w:pPr>
      <w:r>
        <w:rPr>
          <w:rFonts w:ascii="Palatino Linotype" w:hAnsi="Palatino Linotype"/>
        </w:rPr>
        <w:t>En tal sentido</w:t>
      </w:r>
      <w:r w:rsidR="00BA0E0F">
        <w:rPr>
          <w:rFonts w:ascii="Palatino Linotype" w:hAnsi="Palatino Linotype"/>
        </w:rPr>
        <w:t xml:space="preserve">, del análisis de las constancias que integran el expediente en que se actúa así como de la materia sobre la que versa la solicitud de acceso a la información pública, se advierte que los motivos de inconformidad acontecen fundados y </w:t>
      </w:r>
      <w:r w:rsidR="002563BB">
        <w:rPr>
          <w:rFonts w:ascii="Palatino Linotype" w:hAnsi="Palatino Linotype"/>
        </w:rPr>
        <w:t>s</w:t>
      </w:r>
      <w:r w:rsidR="00B10709">
        <w:rPr>
          <w:rFonts w:ascii="Palatino Linotype" w:hAnsi="Palatino Linotype"/>
        </w:rPr>
        <w:t>uficientes para revocar</w:t>
      </w:r>
      <w:r w:rsidR="00BA0E0F">
        <w:rPr>
          <w:rFonts w:ascii="Palatino Linotype" w:hAnsi="Palatino Linotype"/>
        </w:rPr>
        <w:t xml:space="preserve"> la respuesta del Sujeto Obligado en razón de las consideraciones de derecho que a continuación se exponen:</w:t>
      </w:r>
    </w:p>
    <w:p w:rsidR="00B10709" w:rsidRPr="00125841" w:rsidRDefault="00B10709" w:rsidP="00B10709">
      <w:pPr>
        <w:spacing w:before="240" w:after="240" w:line="360" w:lineRule="auto"/>
        <w:jc w:val="both"/>
        <w:rPr>
          <w:rFonts w:ascii="Palatino Linotype" w:eastAsia="Calibri" w:hAnsi="Palatino Linotype" w:cs="Arial"/>
          <w:lang w:val="es-MX" w:eastAsia="en-US"/>
        </w:rPr>
      </w:pPr>
      <w:r w:rsidRPr="00125841">
        <w:rPr>
          <w:rFonts w:ascii="Palatino Linotype" w:hAnsi="Palatino Linotype"/>
        </w:rPr>
        <w:t xml:space="preserve">Ante todo, se debe resaltar que el </w:t>
      </w:r>
      <w:r w:rsidRPr="00125841">
        <w:rPr>
          <w:rFonts w:ascii="Palatino Linotype" w:hAnsi="Palatino Linotype"/>
          <w:b/>
        </w:rPr>
        <w:t>Sujeto Obligado</w:t>
      </w:r>
      <w:r w:rsidRPr="00125841">
        <w:rPr>
          <w:rFonts w:ascii="Palatino Linotype" w:hAnsi="Palatino Linotype"/>
        </w:rPr>
        <w:t xml:space="preserve"> </w:t>
      </w:r>
      <w:r w:rsidRPr="00125841">
        <w:rPr>
          <w:rFonts w:ascii="Palatino Linotype" w:hAnsi="Palatino Linotype" w:cs="Arial"/>
        </w:rPr>
        <w:t xml:space="preserve">no niega contar con la información solicitada por el recurrente, sino </w:t>
      </w:r>
      <w:r w:rsidRPr="00125841">
        <w:rPr>
          <w:rFonts w:ascii="Palatino Linotype" w:eastAsia="Calibri" w:hAnsi="Palatino Linotype" w:cs="Arial"/>
          <w:lang w:val="es-MX" w:eastAsia="en-US"/>
        </w:rPr>
        <w:t>por el contrario, se presume que dicha información la posee o administra al</w:t>
      </w:r>
      <w:r>
        <w:rPr>
          <w:rFonts w:ascii="Palatino Linotype" w:eastAsia="Calibri" w:hAnsi="Palatino Linotype" w:cs="Arial"/>
          <w:lang w:val="es-MX" w:eastAsia="en-US"/>
        </w:rPr>
        <w:t xml:space="preserve"> proporcionar </w:t>
      </w:r>
      <w:r w:rsidR="006747B0">
        <w:rPr>
          <w:rFonts w:ascii="Palatino Linotype" w:eastAsia="Calibri" w:hAnsi="Palatino Linotype" w:cs="Arial"/>
          <w:lang w:val="es-MX" w:eastAsia="en-US"/>
        </w:rPr>
        <w:t>un documento ad hoc, máxime que en su informe justificado acepta que la “nómina” se encuentra en el archivo generado por la Dirección General de administración</w:t>
      </w:r>
      <w:r w:rsidRPr="00125841">
        <w:rPr>
          <w:rFonts w:ascii="Palatino Linotype" w:eastAsia="Calibri" w:hAnsi="Palatino Linotype" w:cs="Arial"/>
          <w:lang w:val="es-MX" w:eastAsia="en-US"/>
        </w:rPr>
        <w:t>, de conformidad con el fundamento legal que en su respuesta señala</w:t>
      </w:r>
      <w:r w:rsidR="006747B0">
        <w:rPr>
          <w:rFonts w:ascii="Palatino Linotype" w:eastAsia="Calibri" w:hAnsi="Palatino Linotype" w:cs="Arial"/>
          <w:lang w:val="es-MX" w:eastAsia="en-US"/>
        </w:rPr>
        <w:t xml:space="preserve"> como informe justificado</w:t>
      </w:r>
      <w:r w:rsidRPr="00125841">
        <w:rPr>
          <w:rFonts w:ascii="Palatino Linotype" w:eastAsia="Calibri" w:hAnsi="Palatino Linotype" w:cs="Arial"/>
          <w:lang w:val="es-MX" w:eastAsia="en-US"/>
        </w:rPr>
        <w:t xml:space="preserve">, </w:t>
      </w:r>
      <w:r w:rsidRPr="00125841">
        <w:rPr>
          <w:rFonts w:ascii="Palatino Linotype" w:eastAsia="Calibri" w:hAnsi="Palatino Linotype" w:cs="Arial"/>
        </w:rPr>
        <w:t>por lo que el estudio de la naturaleza jurídica de la información solicitada,</w:t>
      </w:r>
      <w:r>
        <w:rPr>
          <w:rFonts w:ascii="Palatino Linotype" w:eastAsia="Calibri" w:hAnsi="Palatino Linotype" w:cs="Arial"/>
        </w:rPr>
        <w:t xml:space="preserve"> en el caso concreto, </w:t>
      </w:r>
      <w:r w:rsidRPr="00125841">
        <w:rPr>
          <w:rFonts w:ascii="Palatino Linotype" w:eastAsia="Calibri" w:hAnsi="Palatino Linotype" w:cs="Arial"/>
        </w:rPr>
        <w:t>se obvia.</w:t>
      </w:r>
    </w:p>
    <w:p w:rsidR="00B10709" w:rsidRPr="007153F2" w:rsidRDefault="00B10709" w:rsidP="00B10709">
      <w:pPr>
        <w:widowControl w:val="0"/>
        <w:autoSpaceDE w:val="0"/>
        <w:autoSpaceDN w:val="0"/>
        <w:adjustRightInd w:val="0"/>
        <w:spacing w:before="240" w:after="240" w:line="360" w:lineRule="auto"/>
        <w:jc w:val="both"/>
        <w:rPr>
          <w:rFonts w:ascii="Palatino Linotype" w:eastAsia="Arial Unicode MS" w:hAnsi="Palatino Linotype" w:cs="Arial"/>
        </w:rPr>
      </w:pPr>
      <w:r w:rsidRPr="00125841">
        <w:rPr>
          <w:rFonts w:ascii="Palatino Linotype" w:eastAsia="Calibri" w:hAnsi="Palatino Linotype" w:cs="Arial"/>
        </w:rPr>
        <w:t>Lo anterior es así, ya que e</w:t>
      </w:r>
      <w:r w:rsidRPr="00125841">
        <w:rPr>
          <w:rFonts w:ascii="Palatino Linotype" w:eastAsia="Arial Unicode MS" w:hAnsi="Palatino Linotype" w:cs="Arial"/>
        </w:rPr>
        <w:t xml:space="preserve">l estudio enunciado tiene por objeto determinar si el </w:t>
      </w:r>
      <w:r w:rsidRPr="00953FF9">
        <w:rPr>
          <w:rFonts w:ascii="Palatino Linotype" w:eastAsia="Arial Unicode MS" w:hAnsi="Palatino Linotype" w:cs="Arial"/>
        </w:rPr>
        <w:t>Sujeto Obligado</w:t>
      </w:r>
      <w:r w:rsidRPr="00125841">
        <w:rPr>
          <w:rFonts w:ascii="Palatino Linotype" w:eastAsia="Arial Unicode MS" w:hAnsi="Palatino Linotype" w:cs="Arial"/>
        </w:rPr>
        <w:t xml:space="preserve"> </w:t>
      </w:r>
      <w:r>
        <w:rPr>
          <w:rFonts w:ascii="Palatino Linotype" w:eastAsia="Arial Unicode MS" w:hAnsi="Palatino Linotype" w:cs="Arial"/>
        </w:rPr>
        <w:t>genera, posee o administra</w:t>
      </w:r>
      <w:r w:rsidRPr="00125841">
        <w:rPr>
          <w:rFonts w:ascii="Palatino Linotype" w:eastAsia="Arial Unicode MS" w:hAnsi="Palatino Linotype" w:cs="Arial"/>
        </w:rPr>
        <w:t xml:space="preserve"> la información solicitada</w:t>
      </w:r>
      <w:r w:rsidRPr="00125841">
        <w:rPr>
          <w:rFonts w:ascii="Palatino Linotype" w:eastAsia="Arial Unicode MS" w:hAnsi="Palatino Linotype" w:cs="Arial"/>
          <w:color w:val="000000"/>
        </w:rPr>
        <w:t>;</w:t>
      </w:r>
      <w:r w:rsidRPr="0012584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953FF9">
        <w:rPr>
          <w:rFonts w:ascii="Palatino Linotype" w:eastAsia="Arial Unicode MS" w:hAnsi="Palatino Linotype" w:cs="Arial"/>
        </w:rPr>
        <w:t>Sujeto Obligado.</w:t>
      </w:r>
    </w:p>
    <w:p w:rsidR="00442ACD" w:rsidRDefault="00442ACD" w:rsidP="00442ACD">
      <w:pPr>
        <w:spacing w:before="240" w:after="240" w:line="360" w:lineRule="auto"/>
        <w:jc w:val="both"/>
        <w:rPr>
          <w:rFonts w:ascii="Palatino Linotype" w:hAnsi="Palatino Linotype" w:cs="Arial"/>
        </w:rPr>
      </w:pPr>
      <w:r>
        <w:rPr>
          <w:rFonts w:ascii="Palatino Linotype" w:eastAsia="Calibri" w:hAnsi="Palatino Linotype" w:cs="Arial"/>
          <w:lang w:val="es-MX" w:eastAsia="en-US"/>
        </w:rPr>
        <w:lastRenderedPageBreak/>
        <w:t xml:space="preserve">En primer lugar, </w:t>
      </w:r>
      <w:r w:rsidRPr="006F3C93">
        <w:rPr>
          <w:rFonts w:ascii="Palatino Linotype" w:eastAsia="Calibri" w:hAnsi="Palatino Linotype" w:cs="Arial"/>
          <w:lang w:val="es-MX" w:eastAsia="en-US"/>
        </w:rPr>
        <w:t xml:space="preserve">es conveniente analizar si la respuesta del </w:t>
      </w:r>
      <w:r w:rsidRPr="0073071C">
        <w:rPr>
          <w:rFonts w:ascii="Palatino Linotype" w:eastAsia="Calibri" w:hAnsi="Palatino Linotype" w:cs="Arial"/>
          <w:b/>
          <w:lang w:val="es-MX" w:eastAsia="en-US"/>
        </w:rPr>
        <w:t>Sujeto Obligado</w:t>
      </w:r>
      <w:r w:rsidRPr="006F3C93">
        <w:rPr>
          <w:rFonts w:ascii="Palatino Linotype" w:eastAsia="Calibri" w:hAnsi="Palatino Linotype" w:cs="Arial"/>
          <w:lang w:val="es-MX" w:eastAsia="en-US"/>
        </w:rPr>
        <w:t xml:space="preserve"> cumple con los requisitos y procedimientos del derecho de acceso a la información pública, </w:t>
      </w:r>
      <w:r>
        <w:rPr>
          <w:rFonts w:ascii="Palatino Linotype" w:eastAsia="Calibri" w:hAnsi="Palatino Linotype" w:cs="Arial"/>
          <w:lang w:val="es-MX" w:eastAsia="en-US"/>
        </w:rPr>
        <w:t xml:space="preserve">en atención a que en la </w:t>
      </w:r>
      <w:r w:rsidRPr="000534DD">
        <w:rPr>
          <w:rFonts w:ascii="Palatino Linotype" w:hAnsi="Palatino Linotype" w:cs="Arial"/>
        </w:rPr>
        <w:t>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Pr>
          <w:rFonts w:ascii="Palatino Linotype" w:hAnsi="Palatino Linotype" w:cs="Arial"/>
        </w:rPr>
        <w:t xml:space="preserve"> en su artículo 4, que dice que toda la información </w:t>
      </w:r>
      <w:r w:rsidRPr="004B2697">
        <w:rPr>
          <w:rFonts w:ascii="Palatino Linotype" w:hAnsi="Palatino Linotype" w:cs="Arial"/>
        </w:rPr>
        <w:t>generada, obtenida, adquirida, transformada, administrada o en posesión de los sujetos obligados es pública y accesible de manera permanente a cualquier persona</w:t>
      </w:r>
      <w:r w:rsidRPr="000534DD">
        <w:rPr>
          <w:rFonts w:ascii="Palatino Linotype" w:hAnsi="Palatino Linotype" w:cs="Arial"/>
        </w:rPr>
        <w:t xml:space="preserve">, privilegiando el principio de máxima publicidad, como </w:t>
      </w:r>
      <w:r>
        <w:rPr>
          <w:rFonts w:ascii="Palatino Linotype" w:hAnsi="Palatino Linotype" w:cs="Arial"/>
        </w:rPr>
        <w:t>así lo establece dicha determinación, que a continuación se trascribe para un mejor entendimiento:</w:t>
      </w:r>
    </w:p>
    <w:p w:rsidR="00442ACD" w:rsidRDefault="00442ACD" w:rsidP="00442ACD">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Pr="001013A9">
        <w:rPr>
          <w:rFonts w:ascii="Palatino Linotype" w:hAnsi="Palatino Linotype" w:cs="Arial"/>
          <w:b/>
          <w:i/>
          <w:sz w:val="22"/>
          <w:szCs w:val="22"/>
        </w:rPr>
        <w:t>Artículo 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42ACD" w:rsidRDefault="00442ACD" w:rsidP="00442ACD">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42ACD" w:rsidRDefault="00442ACD" w:rsidP="00442ACD">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4B2697">
        <w:rPr>
          <w:rFonts w:ascii="Palatino Linotype" w:hAnsi="Palatino Linotype" w:cs="Arial"/>
          <w:i/>
          <w:sz w:val="22"/>
          <w:szCs w:val="22"/>
        </w:rPr>
        <w:t>.</w:t>
      </w:r>
      <w:r>
        <w:rPr>
          <w:rFonts w:ascii="Palatino Linotype" w:hAnsi="Palatino Linotype" w:cs="Arial"/>
          <w:i/>
          <w:sz w:val="22"/>
          <w:szCs w:val="22"/>
        </w:rPr>
        <w:t>”(Sic)</w:t>
      </w:r>
    </w:p>
    <w:p w:rsidR="00442ACD" w:rsidRPr="004B2697" w:rsidRDefault="00442ACD" w:rsidP="00442ACD">
      <w:pPr>
        <w:spacing w:before="240" w:after="240"/>
        <w:ind w:left="709" w:right="760"/>
        <w:contextualSpacing/>
        <w:jc w:val="both"/>
        <w:rPr>
          <w:rFonts w:ascii="Palatino Linotype" w:hAnsi="Palatino Linotype" w:cs="Arial"/>
          <w:i/>
          <w:sz w:val="22"/>
          <w:szCs w:val="22"/>
        </w:rPr>
      </w:pPr>
    </w:p>
    <w:p w:rsidR="00442ACD" w:rsidRDefault="00442ACD" w:rsidP="00442ACD">
      <w:pPr>
        <w:spacing w:before="240" w:after="240" w:line="360" w:lineRule="auto"/>
        <w:jc w:val="both"/>
        <w:rPr>
          <w:rFonts w:ascii="Palatino Linotype" w:hAnsi="Palatino Linotype" w:cs="Arial"/>
        </w:rPr>
      </w:pPr>
      <w:r>
        <w:rPr>
          <w:rFonts w:ascii="Palatino Linotype" w:hAnsi="Palatino Linotype" w:cs="Arial"/>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Pr="00B6113B">
        <w:rPr>
          <w:rFonts w:ascii="Palatino Linotype" w:hAnsi="Palatino Linotype" w:cs="Arial"/>
        </w:rPr>
        <w:t xml:space="preserve">de </w:t>
      </w:r>
      <w:r w:rsidRPr="00B6113B">
        <w:rPr>
          <w:rFonts w:ascii="Palatino Linotype" w:hAnsi="Palatino Linotype" w:cs="Arial"/>
        </w:rPr>
        <w:lastRenderedPageBreak/>
        <w:t>Transparencia y Acceso a la Información Pública del Estado de México y Municipios</w:t>
      </w:r>
      <w:r>
        <w:rPr>
          <w:rFonts w:ascii="Palatino Linotype" w:hAnsi="Palatino Linotype" w:cs="Arial"/>
        </w:rPr>
        <w:t>, que a la letra dice:</w:t>
      </w:r>
    </w:p>
    <w:p w:rsidR="00442ACD" w:rsidRDefault="00442ACD" w:rsidP="00442ACD">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442ACD" w:rsidRDefault="00442ACD" w:rsidP="00442ACD">
      <w:pPr>
        <w:spacing w:before="240" w:after="240"/>
        <w:ind w:left="567" w:right="758"/>
        <w:contextualSpacing/>
        <w:jc w:val="both"/>
        <w:rPr>
          <w:rFonts w:ascii="Palatino Linotype" w:hAnsi="Palatino Linotype" w:cs="Arial"/>
          <w:i/>
          <w:sz w:val="22"/>
          <w:szCs w:val="22"/>
        </w:rPr>
      </w:pPr>
    </w:p>
    <w:p w:rsidR="00442ACD" w:rsidRPr="00B11B43" w:rsidRDefault="00442ACD" w:rsidP="00442ACD">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sz w:val="22"/>
          <w:szCs w:val="22"/>
        </w:rPr>
        <w:t>” (Sic)</w:t>
      </w:r>
    </w:p>
    <w:p w:rsidR="00442ACD" w:rsidRDefault="00442ACD" w:rsidP="00442ACD">
      <w:pPr>
        <w:spacing w:line="360" w:lineRule="auto"/>
        <w:ind w:right="-93"/>
        <w:jc w:val="both"/>
        <w:rPr>
          <w:rFonts w:ascii="Palatino Linotype" w:hAnsi="Palatino Linotype" w:cs="Arial"/>
          <w:color w:val="000000"/>
        </w:rPr>
      </w:pPr>
    </w:p>
    <w:p w:rsidR="00442ACD" w:rsidRDefault="00442ACD" w:rsidP="00442ACD">
      <w:pPr>
        <w:spacing w:line="360" w:lineRule="auto"/>
        <w:ind w:right="-93"/>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 Sujetos Obligados solo se concretaran a proporcionar la información solicitada que tengan en su poder en el estado que se encuentran, sin necesidad de concretarse al interés o términos específicos del solicitante.</w:t>
      </w:r>
    </w:p>
    <w:p w:rsidR="00442ACD" w:rsidRDefault="00442ACD" w:rsidP="00442ACD">
      <w:pPr>
        <w:spacing w:line="360" w:lineRule="auto"/>
        <w:ind w:right="-93"/>
        <w:jc w:val="both"/>
        <w:rPr>
          <w:rFonts w:ascii="Palatino Linotype" w:hAnsi="Palatino Linotype" w:cs="Arial"/>
          <w:color w:val="000000"/>
        </w:rPr>
      </w:pPr>
    </w:p>
    <w:p w:rsidR="00442ACD" w:rsidRDefault="00442ACD" w:rsidP="00442ACD">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442ACD" w:rsidRDefault="00442ACD" w:rsidP="00442ACD">
      <w:pPr>
        <w:ind w:left="851" w:right="850"/>
        <w:jc w:val="both"/>
        <w:rPr>
          <w:rFonts w:ascii="Palatino Linotype" w:hAnsi="Palatino Linotype" w:cs="Arial"/>
          <w:color w:val="000000"/>
        </w:rPr>
      </w:pPr>
    </w:p>
    <w:p w:rsidR="00442ACD" w:rsidRDefault="00442ACD" w:rsidP="00442ACD">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w:t>
      </w:r>
      <w:r>
        <w:rPr>
          <w:rFonts w:ascii="Palatino Linotype" w:hAnsi="Palatino Linotype" w:cs="Arial"/>
          <w:i/>
          <w:color w:val="000000"/>
          <w:sz w:val="22"/>
          <w:szCs w:val="22"/>
        </w:rPr>
        <w:lastRenderedPageBreak/>
        <w:t>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42ACD" w:rsidRDefault="00442ACD" w:rsidP="00442ACD">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442ACD" w:rsidRDefault="00442ACD" w:rsidP="00442ACD">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442ACD" w:rsidRDefault="00442ACD" w:rsidP="00442ACD">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442ACD" w:rsidRDefault="00442ACD" w:rsidP="00442ACD">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442ACD" w:rsidRDefault="00442ACD" w:rsidP="00442ACD">
      <w:pPr>
        <w:spacing w:line="360" w:lineRule="auto"/>
        <w:ind w:right="-93"/>
        <w:jc w:val="both"/>
        <w:rPr>
          <w:rFonts w:ascii="Palatino Linotype" w:hAnsi="Palatino Linotype" w:cs="Arial"/>
          <w:color w:val="000000"/>
        </w:rPr>
      </w:pPr>
    </w:p>
    <w:p w:rsidR="00442ACD" w:rsidRDefault="00442ACD" w:rsidP="00442ACD">
      <w:pPr>
        <w:spacing w:line="360" w:lineRule="auto"/>
        <w:contextualSpacing/>
        <w:jc w:val="both"/>
        <w:rPr>
          <w:rFonts w:ascii="Palatino Linotype" w:hAnsi="Palatino Linotype" w:cs="Arial"/>
          <w:color w:val="000000"/>
        </w:rPr>
      </w:pPr>
      <w:r>
        <w:rPr>
          <w:rFonts w:ascii="Palatino Linotype" w:hAnsi="Palatino Linotype" w:cs="Arial"/>
          <w:color w:val="000000"/>
        </w:rPr>
        <w:t>Sin embargo, en el presente caso en particular, el Sujeto Obligado dio respuesta a la solicitud de acceso a la información del particular; a través de un documento ad hoc.</w:t>
      </w:r>
    </w:p>
    <w:p w:rsidR="00442ACD" w:rsidRDefault="00442ACD" w:rsidP="00442ACD">
      <w:pPr>
        <w:spacing w:line="360" w:lineRule="auto"/>
        <w:jc w:val="both"/>
        <w:rPr>
          <w:rFonts w:ascii="Palatino Linotype" w:hAnsi="Palatino Linotype" w:cs="Arial"/>
        </w:rPr>
      </w:pPr>
    </w:p>
    <w:p w:rsidR="00442ACD" w:rsidRDefault="00442ACD" w:rsidP="00442ACD">
      <w:pPr>
        <w:spacing w:line="360" w:lineRule="auto"/>
        <w:jc w:val="both"/>
        <w:rPr>
          <w:rFonts w:ascii="Palatino Linotype" w:hAnsi="Palatino Linotype" w:cs="Arial"/>
          <w:color w:val="000000" w:themeColor="text1"/>
        </w:rPr>
      </w:pPr>
      <w:r w:rsidRPr="004975CB">
        <w:rPr>
          <w:rFonts w:ascii="Palatino Linotype" w:hAnsi="Palatino Linotype" w:cs="Arial"/>
        </w:rPr>
        <w:t>Por otra parte y aunado a lo antepuesto</w:t>
      </w:r>
      <w:r>
        <w:rPr>
          <w:rFonts w:ascii="Palatino Linotype" w:hAnsi="Palatino Linotype" w:cs="Arial"/>
        </w:rPr>
        <w:t>,</w:t>
      </w:r>
      <w:r w:rsidRPr="004975CB">
        <w:rPr>
          <w:rFonts w:ascii="Palatino Linotype" w:hAnsi="Palatino Linotype" w:cs="Arial"/>
        </w:rPr>
        <w:t xml:space="preserve"> </w:t>
      </w:r>
      <w:r>
        <w:rPr>
          <w:rFonts w:ascii="Palatino Linotype" w:hAnsi="Palatino Linotype" w:cs="Arial"/>
        </w:rPr>
        <w:t>el artículo 24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442ACD" w:rsidRDefault="00442ACD" w:rsidP="00442ACD">
      <w:pPr>
        <w:spacing w:line="360" w:lineRule="auto"/>
        <w:jc w:val="both"/>
        <w:rPr>
          <w:rFonts w:ascii="Palatino Linotype" w:hAnsi="Palatino Linotype" w:cs="Arial"/>
          <w:color w:val="000000" w:themeColor="text1"/>
        </w:rPr>
      </w:pPr>
    </w:p>
    <w:p w:rsidR="00442ACD" w:rsidRDefault="00442ACD" w:rsidP="00442ACD">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Pr>
          <w:rFonts w:ascii="Palatino Linotype" w:hAnsi="Palatino Linotype" w:cs="Arial"/>
        </w:rPr>
        <w:lastRenderedPageBreak/>
        <w:t xml:space="preserve">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4A3524" w:rsidRDefault="004A3524" w:rsidP="00442ACD">
      <w:pPr>
        <w:spacing w:before="240" w:after="240" w:line="360" w:lineRule="auto"/>
        <w:ind w:right="49"/>
        <w:contextualSpacing/>
        <w:jc w:val="both"/>
        <w:rPr>
          <w:rFonts w:ascii="Palatino Linotype" w:hAnsi="Palatino Linotype" w:cs="Arial"/>
        </w:rPr>
      </w:pPr>
    </w:p>
    <w:p w:rsidR="00442ACD" w:rsidRPr="004975CB" w:rsidRDefault="00442ACD" w:rsidP="00442ACD">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42ACD" w:rsidRPr="004975CB" w:rsidRDefault="00442ACD" w:rsidP="00442ACD">
      <w:pPr>
        <w:ind w:left="851" w:right="899"/>
        <w:jc w:val="both"/>
        <w:rPr>
          <w:rFonts w:ascii="Palatino Linotype" w:hAnsi="Palatino Linotype" w:cs="Arial"/>
          <w:i/>
          <w:sz w:val="22"/>
          <w:szCs w:val="22"/>
        </w:rPr>
      </w:pPr>
    </w:p>
    <w:p w:rsidR="00442ACD" w:rsidRPr="004975CB" w:rsidRDefault="00442ACD" w:rsidP="00442ACD">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442ACD" w:rsidRPr="004975CB" w:rsidRDefault="00442ACD" w:rsidP="00442ACD">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442ACD" w:rsidRDefault="00442ACD" w:rsidP="00442ACD">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05622E">
        <w:rPr>
          <w:rFonts w:ascii="Palatino Linotype" w:hAnsi="Palatino Linotype" w:cs="Arial"/>
          <w:b/>
          <w:i/>
          <w:color w:val="000000"/>
          <w:sz w:val="22"/>
          <w:szCs w:val="22"/>
        </w:rPr>
        <w:t>actas,</w:t>
      </w:r>
      <w:r w:rsidRPr="009E12B6">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42ACD" w:rsidRPr="009E12B6" w:rsidRDefault="00442ACD" w:rsidP="00442ACD">
      <w:pPr>
        <w:ind w:left="851" w:right="899"/>
        <w:jc w:val="both"/>
        <w:rPr>
          <w:rFonts w:ascii="Palatino Linotype" w:hAnsi="Palatino Linotype" w:cs="Arial"/>
          <w:i/>
          <w:color w:val="000000"/>
          <w:sz w:val="22"/>
          <w:szCs w:val="22"/>
        </w:rPr>
      </w:pPr>
      <w:r w:rsidRPr="00E34595">
        <w:rPr>
          <w:rFonts w:ascii="Palatino Linotype" w:hAnsi="Palatino Linotype" w:cs="Arial"/>
          <w:b/>
          <w:i/>
          <w:color w:val="000000"/>
          <w:sz w:val="22"/>
          <w:szCs w:val="22"/>
        </w:rPr>
        <w:t>XII. Documento electrónico:</w:t>
      </w:r>
      <w:r w:rsidRPr="00E34595">
        <w:rPr>
          <w:rFonts w:ascii="Palatino Linotype" w:hAnsi="Palatino Linotype" w:cs="Arial"/>
          <w:i/>
          <w:color w:val="000000"/>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r>
        <w:rPr>
          <w:rFonts w:ascii="Palatino Linotype" w:hAnsi="Palatino Linotype" w:cs="Arial"/>
          <w:i/>
          <w:color w:val="000000"/>
          <w:sz w:val="22"/>
          <w:szCs w:val="22"/>
        </w:rPr>
        <w:t>(Sic)</w:t>
      </w:r>
    </w:p>
    <w:p w:rsidR="00442ACD" w:rsidRPr="009E12B6" w:rsidRDefault="00442ACD" w:rsidP="00442ACD">
      <w:pPr>
        <w:ind w:left="851" w:right="899"/>
        <w:jc w:val="both"/>
        <w:rPr>
          <w:rFonts w:ascii="Palatino Linotype" w:hAnsi="Palatino Linotype" w:cs="Arial"/>
          <w:sz w:val="22"/>
          <w:szCs w:val="22"/>
        </w:rPr>
      </w:pPr>
    </w:p>
    <w:p w:rsidR="00442ACD" w:rsidRPr="009E12B6" w:rsidRDefault="00442ACD" w:rsidP="00442ACD">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w:t>
      </w:r>
      <w:r w:rsidRPr="009E12B6">
        <w:rPr>
          <w:rFonts w:ascii="Palatino Linotype" w:hAnsi="Palatino Linotype" w:cs="Arial"/>
          <w:bCs/>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442ACD" w:rsidRPr="009E12B6" w:rsidRDefault="00442ACD" w:rsidP="00442ACD">
      <w:pPr>
        <w:ind w:left="851" w:right="899"/>
        <w:jc w:val="both"/>
        <w:rPr>
          <w:rFonts w:ascii="Palatino Linotype" w:hAnsi="Palatino Linotype" w:cs="Arial"/>
        </w:rPr>
      </w:pPr>
    </w:p>
    <w:p w:rsidR="00442ACD" w:rsidRPr="004B675A" w:rsidRDefault="00442ACD" w:rsidP="00442ACD">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442ACD" w:rsidRPr="009E12B6" w:rsidRDefault="00442ACD" w:rsidP="00442ACD">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42ACD" w:rsidRPr="009E12B6" w:rsidRDefault="00442ACD" w:rsidP="00442ACD">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442ACD" w:rsidRPr="009E12B6" w:rsidRDefault="00442ACD" w:rsidP="00442ACD">
      <w:pPr>
        <w:ind w:left="851"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442ACD" w:rsidRPr="009E12B6" w:rsidRDefault="00442ACD" w:rsidP="00442ACD">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442ACD" w:rsidRPr="009E12B6" w:rsidRDefault="00442ACD" w:rsidP="00442ACD">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rsidR="00442ACD" w:rsidRDefault="00442ACD" w:rsidP="00442ACD">
      <w:pPr>
        <w:spacing w:line="360" w:lineRule="auto"/>
        <w:ind w:right="-93"/>
        <w:jc w:val="both"/>
        <w:rPr>
          <w:rFonts w:ascii="Palatino Linotype" w:eastAsia="Palatino Linotype" w:hAnsi="Palatino Linotype" w:cs="Palatino Linotype"/>
          <w:color w:val="000000"/>
        </w:rPr>
      </w:pPr>
    </w:p>
    <w:p w:rsidR="00442ACD" w:rsidRDefault="00442ACD" w:rsidP="00442ACD">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respuesta emitida por el Sujeto Obligado no cumple con lo establecido por los artículos 4, 12 y 24 de la Ley de </w:t>
      </w:r>
      <w:r w:rsidRPr="00B6113B">
        <w:rPr>
          <w:rFonts w:ascii="Palatino Linotype" w:hAnsi="Palatino Linotype" w:cs="Arial"/>
        </w:rPr>
        <w:t>Transparencia y Acceso a la Información Pública del Estado de México y Municipios</w:t>
      </w:r>
      <w:r>
        <w:rPr>
          <w:rFonts w:ascii="Palatino Linotype" w:hAnsi="Palatino Linotype" w:cs="Arial"/>
        </w:rPr>
        <w:t>, de conformidad con el punto siguiente.</w:t>
      </w:r>
    </w:p>
    <w:p w:rsidR="00442ACD" w:rsidRDefault="00442ACD" w:rsidP="00F73DAD">
      <w:pPr>
        <w:tabs>
          <w:tab w:val="left" w:pos="709"/>
        </w:tabs>
        <w:spacing w:line="360" w:lineRule="auto"/>
        <w:jc w:val="both"/>
        <w:rPr>
          <w:rFonts w:ascii="Palatino Linotype" w:hAnsi="Palatino Linotype" w:cs="Arial"/>
        </w:rPr>
      </w:pPr>
    </w:p>
    <w:p w:rsidR="00986DE2" w:rsidRDefault="005E2F65" w:rsidP="00F73DAD">
      <w:pPr>
        <w:tabs>
          <w:tab w:val="left" w:pos="709"/>
        </w:tabs>
        <w:spacing w:line="360" w:lineRule="auto"/>
        <w:jc w:val="both"/>
        <w:rPr>
          <w:rFonts w:ascii="Palatino Linotype" w:hAnsi="Palatino Linotype"/>
        </w:rPr>
      </w:pPr>
      <w:r>
        <w:rPr>
          <w:rFonts w:ascii="Palatino Linotype" w:hAnsi="Palatino Linotype" w:cs="Arial"/>
        </w:rPr>
        <w:t>En segundo</w:t>
      </w:r>
      <w:r w:rsidR="00F73DAD">
        <w:rPr>
          <w:rFonts w:ascii="Palatino Linotype" w:hAnsi="Palatino Linotype" w:cs="Arial"/>
        </w:rPr>
        <w:t xml:space="preserve"> lugar</w:t>
      </w:r>
      <w:r w:rsidR="00F73DAD" w:rsidRPr="00496C28">
        <w:rPr>
          <w:rFonts w:ascii="Palatino Linotype" w:hAnsi="Palatino Linotype" w:cs="Arial"/>
        </w:rPr>
        <w:t xml:space="preserve">, </w:t>
      </w:r>
      <w:r w:rsidR="00986DE2">
        <w:rPr>
          <w:rFonts w:ascii="Palatino Linotype" w:hAnsi="Palatino Linotype" w:cs="Arial"/>
        </w:rPr>
        <w:t xml:space="preserve">si bien es cierto que el Sujeto Obligado pretendió satisfacer el derecho de acceso a la información del particular, a través de un documento ad hoc en el cual se observa </w:t>
      </w:r>
      <w:r w:rsidR="003600C7">
        <w:rPr>
          <w:rFonts w:ascii="Palatino Linotype" w:hAnsi="Palatino Linotype" w:cs="Arial"/>
        </w:rPr>
        <w:t xml:space="preserve">alguna </w:t>
      </w:r>
      <w:r w:rsidR="00986DE2">
        <w:rPr>
          <w:rFonts w:ascii="Palatino Linotype" w:hAnsi="Palatino Linotype" w:cs="Arial"/>
        </w:rPr>
        <w:t xml:space="preserve">información solicitada; no obstante, de la información </w:t>
      </w:r>
      <w:r w:rsidR="00986DE2">
        <w:rPr>
          <w:rFonts w:ascii="Palatino Linotype" w:hAnsi="Palatino Linotype" w:cs="Arial"/>
        </w:rPr>
        <w:lastRenderedPageBreak/>
        <w:t xml:space="preserve">enviada en informe justificado, se advierte que el Sujeto Obligado </w:t>
      </w:r>
      <w:r w:rsidR="004A3524">
        <w:rPr>
          <w:rFonts w:ascii="Palatino Linotype" w:hAnsi="Palatino Linotype" w:cs="Arial"/>
        </w:rPr>
        <w:t>expresa</w:t>
      </w:r>
      <w:r w:rsidR="00986DE2">
        <w:rPr>
          <w:rFonts w:ascii="Palatino Linotype" w:hAnsi="Palatino Linotype" w:cs="Arial"/>
        </w:rPr>
        <w:t xml:space="preserve"> </w:t>
      </w:r>
      <w:r w:rsidR="003600C7">
        <w:rPr>
          <w:rFonts w:ascii="Palatino Linotype" w:hAnsi="Palatino Linotype" w:cs="Arial"/>
        </w:rPr>
        <w:t xml:space="preserve">tácitamente </w:t>
      </w:r>
      <w:r w:rsidR="00986DE2">
        <w:rPr>
          <w:rFonts w:ascii="Palatino Linotype" w:hAnsi="Palatino Linotype" w:cs="Arial"/>
        </w:rPr>
        <w:t>que la informaci</w:t>
      </w:r>
      <w:r w:rsidR="003600C7">
        <w:rPr>
          <w:rFonts w:ascii="Palatino Linotype" w:hAnsi="Palatino Linotype" w:cs="Arial"/>
        </w:rPr>
        <w:t>ón requerida</w:t>
      </w:r>
      <w:r w:rsidR="00986DE2">
        <w:rPr>
          <w:rFonts w:ascii="Palatino Linotype" w:hAnsi="Palatino Linotype" w:cs="Arial"/>
        </w:rPr>
        <w:t xml:space="preserve"> por el particular se encuentra en el archivo generado por la Dirección General de Administración del Ayuntamiento de Naucalpan de Juárez, en el documento denominado “nómina”, considerando el Sujeto Obligado</w:t>
      </w:r>
      <w:r w:rsidR="004A3524">
        <w:rPr>
          <w:rFonts w:ascii="Palatino Linotype" w:hAnsi="Palatino Linotype" w:cs="Arial"/>
        </w:rPr>
        <w:t xml:space="preserve"> que dicho documento contiene información confidencial, clasificando por su naturaleza el </w:t>
      </w:r>
      <w:r w:rsidR="004A3524">
        <w:rPr>
          <w:rFonts w:ascii="Palatino Linotype" w:hAnsi="Palatino Linotype"/>
        </w:rPr>
        <w:t>Registro Federal de Contribuyentes (RFC), Número de Empleado, Clave Única de Registro de Población (CURP), la clave de seguridad social (ISSEMYM), el método y forma de pago y las cuotas sindicales, decretándose mediante acuerdo número DGA/CI-001-2017; es decir,</w:t>
      </w:r>
      <w:r w:rsidR="003600C7">
        <w:rPr>
          <w:rFonts w:ascii="Palatino Linotype" w:hAnsi="Palatino Linotype"/>
        </w:rPr>
        <w:t xml:space="preserve"> acepta radicalmente</w:t>
      </w:r>
      <w:r w:rsidR="004A3524">
        <w:rPr>
          <w:rFonts w:ascii="Palatino Linotype" w:hAnsi="Palatino Linotype"/>
        </w:rPr>
        <w:t xml:space="preserve"> el Sujeto Obligado contar con el soporte documental en donde se advierte la información solicitada por el particular, pero el Sujeto Obligado genero un documento ad hoc, el cual no satisface el derecho de acceso a la información del recurrente </w:t>
      </w:r>
      <w:r w:rsidR="003600C7">
        <w:rPr>
          <w:rFonts w:ascii="Palatino Linotype" w:hAnsi="Palatino Linotype"/>
        </w:rPr>
        <w:t>por no ser el documento que obra en su archivo y el idóneo para dar satisfacción a la solicitud de información, trasgrediendo con ello el referente artículo 12 de la Ley de la Materia.</w:t>
      </w:r>
    </w:p>
    <w:p w:rsidR="00D202A0" w:rsidRDefault="003600C7" w:rsidP="00D202A0">
      <w:pPr>
        <w:spacing w:before="240" w:after="240" w:line="360" w:lineRule="auto"/>
        <w:jc w:val="both"/>
        <w:rPr>
          <w:rFonts w:ascii="Palatino Linotype" w:hAnsi="Palatino Linotype" w:cs="Arial"/>
          <w:lang w:eastAsia="en-US"/>
        </w:rPr>
      </w:pPr>
      <w:r>
        <w:rPr>
          <w:rFonts w:ascii="Palatino Linotype" w:hAnsi="Palatino Linotype"/>
        </w:rPr>
        <w:t xml:space="preserve">En </w:t>
      </w:r>
      <w:r w:rsidR="00F42B1C">
        <w:rPr>
          <w:rFonts w:ascii="Palatino Linotype" w:hAnsi="Palatino Linotype"/>
        </w:rPr>
        <w:t>tercer lugar y en atención al tema que inmersa la solicitud de acceso a la información</w:t>
      </w:r>
      <w:r w:rsidR="00D202A0">
        <w:rPr>
          <w:rFonts w:ascii="Palatino Linotype" w:hAnsi="Palatino Linotype"/>
        </w:rPr>
        <w:t xml:space="preserve"> es lo referente </w:t>
      </w:r>
      <w:r w:rsidR="00257D5A">
        <w:rPr>
          <w:rFonts w:ascii="Palatino Linotype" w:hAnsi="Palatino Linotype"/>
        </w:rPr>
        <w:t>a la nómina</w:t>
      </w:r>
      <w:r w:rsidR="006300A1">
        <w:rPr>
          <w:rFonts w:ascii="Palatino Linotype" w:hAnsi="Palatino Linotype"/>
        </w:rPr>
        <w:t xml:space="preserve"> y lista de raya</w:t>
      </w:r>
      <w:r w:rsidR="00F42B1C">
        <w:rPr>
          <w:rFonts w:ascii="Palatino Linotype" w:hAnsi="Palatino Linotype"/>
        </w:rPr>
        <w:t xml:space="preserve">; </w:t>
      </w:r>
      <w:r>
        <w:rPr>
          <w:rFonts w:ascii="Palatino Linotype" w:hAnsi="Palatino Linotype"/>
        </w:rPr>
        <w:t xml:space="preserve">es pertinente mencionar </w:t>
      </w:r>
      <w:r w:rsidR="00D202A0">
        <w:rPr>
          <w:rFonts w:ascii="Palatino Linotype" w:hAnsi="Palatino Linotype"/>
        </w:rPr>
        <w:t xml:space="preserve">que </w:t>
      </w:r>
      <w:r w:rsidR="00D202A0">
        <w:rPr>
          <w:rFonts w:ascii="Palatino Linotype" w:hAnsi="Palatino Linotype" w:cs="Arial"/>
        </w:rPr>
        <w:t xml:space="preserve">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w:t>
      </w:r>
      <w:r w:rsidR="00D202A0">
        <w:rPr>
          <w:rFonts w:ascii="Palatino Linotype" w:hAnsi="Palatino Linotype" w:cs="Arial"/>
        </w:rPr>
        <w:lastRenderedPageBreak/>
        <w:t>Funcionarios Fiscales del Instituto para el Desarrollo Técnico de las Haciendas Públicas (INDETEC), señalan la siguiente definición de la palabra nómina y personal de lista de raya:</w:t>
      </w:r>
    </w:p>
    <w:p w:rsidR="00D202A0" w:rsidRPr="006F0935" w:rsidRDefault="00D202A0" w:rsidP="00D202A0">
      <w:pPr>
        <w:spacing w:before="240" w:after="240"/>
        <w:ind w:left="851" w:right="851"/>
        <w:contextualSpacing/>
        <w:jc w:val="both"/>
        <w:rPr>
          <w:rFonts w:ascii="Palatino Linotype" w:hAnsi="Palatino Linotype" w:cs="Arial"/>
          <w:i/>
          <w:sz w:val="22"/>
          <w:szCs w:val="22"/>
        </w:rPr>
      </w:pPr>
      <w:r w:rsidRPr="006F0935">
        <w:rPr>
          <w:rFonts w:ascii="Palatino Linotype" w:hAnsi="Palatino Linotype" w:cs="Arial"/>
          <w:b/>
          <w:bCs/>
          <w:i/>
          <w:sz w:val="22"/>
          <w:szCs w:val="22"/>
        </w:rPr>
        <w:t xml:space="preserve">“NÓMINA </w:t>
      </w:r>
      <w:r w:rsidRPr="006F0935">
        <w:rPr>
          <w:rFonts w:ascii="Palatino Linotype" w:hAnsi="Palatino Linotype" w:cs="Arial"/>
          <w:i/>
          <w:sz w:val="22"/>
          <w:szCs w:val="22"/>
        </w:rPr>
        <w:t>Listado general de los trabajadores de una institución, en</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el cual se asientan las percepciones brutas, deducciones y</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 xml:space="preserve">alcance neto </w:t>
      </w:r>
      <w:r w:rsidRPr="006F0935">
        <w:rPr>
          <w:rFonts w:ascii="Palatino Linotype" w:hAnsi="Palatino Linotype" w:cs="Arial"/>
          <w:i/>
          <w:color w:val="000000"/>
          <w:sz w:val="22"/>
          <w:szCs w:val="22"/>
        </w:rPr>
        <w:t>de</w:t>
      </w:r>
      <w:r w:rsidRPr="006F0935">
        <w:rPr>
          <w:rFonts w:ascii="Palatino Linotype" w:hAnsi="Palatino Linotype" w:cs="Arial"/>
          <w:i/>
          <w:sz w:val="22"/>
          <w:szCs w:val="22"/>
        </w:rPr>
        <w:t xml:space="preserve"> las mismas; la nómina es utilizada para</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efectuar los pagos periódicos (semanales, quincenales o</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mensuales) a los trabajadores por concepto de sueldos y</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salarios.”</w:t>
      </w:r>
    </w:p>
    <w:p w:rsidR="00D202A0" w:rsidRPr="006F0935" w:rsidRDefault="00D202A0" w:rsidP="00D202A0">
      <w:pPr>
        <w:autoSpaceDE w:val="0"/>
        <w:autoSpaceDN w:val="0"/>
        <w:adjustRightInd w:val="0"/>
        <w:spacing w:before="120" w:after="120"/>
        <w:ind w:left="851" w:right="902"/>
        <w:contextualSpacing/>
        <w:jc w:val="both"/>
        <w:rPr>
          <w:rFonts w:ascii="Palatino Linotype" w:hAnsi="Palatino Linotype" w:cs="Arial"/>
          <w:b/>
          <w:i/>
          <w:sz w:val="22"/>
          <w:szCs w:val="22"/>
        </w:rPr>
      </w:pPr>
      <w:r w:rsidRPr="006F0935">
        <w:rPr>
          <w:rFonts w:ascii="Palatino Linotype" w:hAnsi="Palatino Linotype" w:cs="Arial"/>
          <w:b/>
          <w:i/>
          <w:sz w:val="22"/>
          <w:szCs w:val="22"/>
        </w:rPr>
        <w:t xml:space="preserve">PERSONAL DE LISTA DE RAYA. </w:t>
      </w:r>
      <w:r w:rsidRPr="006F0935">
        <w:rPr>
          <w:rFonts w:ascii="Palatino Linotype" w:hAnsi="Palatino Linotype" w:cs="Arial"/>
          <w:i/>
          <w:sz w:val="22"/>
          <w:szCs w:val="22"/>
        </w:rPr>
        <w:t>Lo integran los trabajadores temporales cuya relación laboral se formaliza por su inclusión en nómina o documentos denominados “Lista de Raya” y que, por lo tanto, carecen de nombramiento.”(Sic)</w:t>
      </w:r>
    </w:p>
    <w:p w:rsidR="00D202A0" w:rsidRDefault="00D202A0" w:rsidP="00D202A0">
      <w:pPr>
        <w:spacing w:line="360" w:lineRule="auto"/>
        <w:jc w:val="both"/>
        <w:rPr>
          <w:rFonts w:ascii="Palatino Linotype" w:hAnsi="Palatino Linotype" w:cs="Arial"/>
          <w:i/>
        </w:rPr>
      </w:pPr>
    </w:p>
    <w:p w:rsidR="00D202A0" w:rsidRDefault="00D202A0" w:rsidP="00D202A0">
      <w:pPr>
        <w:spacing w:line="360" w:lineRule="auto"/>
        <w:jc w:val="both"/>
        <w:rPr>
          <w:rFonts w:ascii="Palatino Linotype" w:hAnsi="Palatino Linotype" w:cs="Arial"/>
          <w:lang w:val="es-MX" w:eastAsia="es-MX"/>
        </w:rPr>
      </w:pPr>
      <w:r>
        <w:rPr>
          <w:rFonts w:ascii="Palatino Linotype" w:hAnsi="Palatino Linotype" w:cs="Arial"/>
        </w:rPr>
        <w:t xml:space="preserve">En base a lo anterior, conviene a traer lo establecido por </w:t>
      </w:r>
      <w:r>
        <w:rPr>
          <w:rFonts w:ascii="Palatino Linotype" w:hAnsi="Palatino Linotype" w:cs="Arial"/>
          <w:lang w:eastAsia="es-MX"/>
        </w:rPr>
        <w:t xml:space="preserve">el artículo 804, fracción II, de la Ley Federal de Trabajo, el cual a la letra establece: </w:t>
      </w:r>
    </w:p>
    <w:p w:rsidR="00D202A0" w:rsidRDefault="00D202A0" w:rsidP="00D202A0">
      <w:pPr>
        <w:spacing w:before="240"/>
        <w:ind w:left="851" w:right="851"/>
        <w:contextualSpacing/>
        <w:jc w:val="both"/>
        <w:rPr>
          <w:rFonts w:ascii="Palatino Linotype" w:hAnsi="Palatino Linotype" w:cs="Arial"/>
          <w:bCs/>
          <w:i/>
          <w:szCs w:val="20"/>
          <w:lang w:eastAsia="es-MX"/>
        </w:rPr>
      </w:pPr>
    </w:p>
    <w:p w:rsidR="00D202A0" w:rsidRPr="006F0935" w:rsidRDefault="00D202A0" w:rsidP="00D202A0">
      <w:pPr>
        <w:spacing w:before="240"/>
        <w:ind w:left="851" w:right="851"/>
        <w:contextualSpacing/>
        <w:jc w:val="both"/>
        <w:rPr>
          <w:rFonts w:ascii="Palatino Linotype" w:hAnsi="Palatino Linotype" w:cs="Arial"/>
          <w:i/>
          <w:sz w:val="22"/>
          <w:szCs w:val="22"/>
          <w:lang w:eastAsia="es-MX"/>
        </w:rPr>
      </w:pPr>
      <w:r>
        <w:rPr>
          <w:rFonts w:ascii="Palatino Linotype" w:hAnsi="Palatino Linotype" w:cs="Arial"/>
          <w:bCs/>
          <w:i/>
          <w:szCs w:val="20"/>
          <w:lang w:eastAsia="es-MX"/>
        </w:rPr>
        <w:t>“</w:t>
      </w:r>
      <w:r w:rsidRPr="006F0935">
        <w:rPr>
          <w:rFonts w:ascii="Palatino Linotype" w:hAnsi="Palatino Linotype" w:cs="Arial"/>
          <w:b/>
          <w:i/>
          <w:sz w:val="22"/>
          <w:szCs w:val="22"/>
          <w:lang w:eastAsia="es-MX"/>
        </w:rPr>
        <w:t>Artículo 804.-</w:t>
      </w:r>
      <w:r w:rsidRPr="006F0935">
        <w:rPr>
          <w:rFonts w:ascii="Palatino Linotype" w:hAnsi="Palatino Linotype" w:cs="Arial"/>
          <w:i/>
          <w:sz w:val="22"/>
          <w:szCs w:val="22"/>
          <w:lang w:eastAsia="es-MX"/>
        </w:rPr>
        <w:t xml:space="preserve"> </w:t>
      </w:r>
      <w:r w:rsidRPr="006F0935">
        <w:rPr>
          <w:rFonts w:ascii="Palatino Linotype" w:hAnsi="Palatino Linotype" w:cs="Arial"/>
          <w:b/>
          <w:i/>
          <w:sz w:val="22"/>
          <w:szCs w:val="22"/>
          <w:lang w:eastAsia="es-MX"/>
        </w:rPr>
        <w:t>El patrón tiene obligación de conservar y exhibir en juicio los documentos que a continuación se precisan</w:t>
      </w:r>
      <w:r>
        <w:rPr>
          <w:rFonts w:ascii="Palatino Linotype" w:hAnsi="Palatino Linotype" w:cs="Arial"/>
          <w:i/>
          <w:sz w:val="22"/>
          <w:szCs w:val="22"/>
          <w:lang w:eastAsia="es-MX"/>
        </w:rPr>
        <w:t>:</w:t>
      </w:r>
    </w:p>
    <w:p w:rsidR="00D202A0" w:rsidRPr="006F0935" w:rsidRDefault="00D202A0" w:rsidP="00D202A0">
      <w:pPr>
        <w:spacing w:before="240"/>
        <w:ind w:left="851" w:right="851"/>
        <w:contextualSpacing/>
        <w:jc w:val="both"/>
        <w:rPr>
          <w:rFonts w:ascii="Palatino Linotype" w:hAnsi="Palatino Linotype" w:cs="Arial"/>
          <w:i/>
          <w:sz w:val="22"/>
          <w:szCs w:val="22"/>
          <w:lang w:eastAsia="es-MX"/>
        </w:rPr>
      </w:pPr>
    </w:p>
    <w:p w:rsidR="00D202A0" w:rsidRPr="006F0935" w:rsidRDefault="00D202A0" w:rsidP="00D202A0">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 xml:space="preserve">II. </w:t>
      </w:r>
      <w:r w:rsidRPr="006F0935">
        <w:rPr>
          <w:rFonts w:ascii="Palatino Linotype" w:hAnsi="Palatino Linotype" w:cs="Arial"/>
          <w:b/>
          <w:i/>
          <w:sz w:val="22"/>
          <w:szCs w:val="22"/>
          <w:lang w:eastAsia="es-MX"/>
        </w:rPr>
        <w:t>Listas de raya o nómina de personal</w:t>
      </w:r>
      <w:r w:rsidRPr="006F0935">
        <w:rPr>
          <w:rFonts w:ascii="Palatino Linotype" w:hAnsi="Palatino Linotype" w:cs="Arial"/>
          <w:i/>
          <w:sz w:val="22"/>
          <w:szCs w:val="22"/>
          <w:lang w:eastAsia="es-MX"/>
        </w:rPr>
        <w:t xml:space="preserve">, cuando se lleven en el centro de trabajo; o recibos de pagos de salarios; </w:t>
      </w:r>
    </w:p>
    <w:p w:rsidR="00D202A0" w:rsidRPr="006F0935" w:rsidRDefault="00D202A0" w:rsidP="00D202A0">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w:t>
      </w:r>
    </w:p>
    <w:p w:rsidR="00D202A0" w:rsidRPr="006F0935" w:rsidRDefault="00D202A0" w:rsidP="00D202A0">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 xml:space="preserve">Los documentos señalados en la fracción I deberán conservarse mientras dure la relación laboral y hasta un año después; </w:t>
      </w:r>
      <w:r w:rsidRPr="006F0935">
        <w:rPr>
          <w:rFonts w:ascii="Palatino Linotype" w:hAnsi="Palatino Linotype" w:cs="Arial"/>
          <w:b/>
          <w:i/>
          <w:sz w:val="22"/>
          <w:szCs w:val="22"/>
          <w:lang w:eastAsia="es-MX"/>
        </w:rPr>
        <w:t>los señalados en las fracciones II, III y IV, durante el último año y un año después de que se extinga la relación laboral</w:t>
      </w:r>
      <w:r w:rsidRPr="006F0935">
        <w:rPr>
          <w:rFonts w:ascii="Palatino Linotype" w:hAnsi="Palatino Linotype" w:cs="Arial"/>
          <w:i/>
          <w:sz w:val="22"/>
          <w:szCs w:val="22"/>
          <w:lang w:eastAsia="es-MX"/>
        </w:rPr>
        <w:t xml:space="preserve">; y los mencionados en la fracción V, conforme lo señalen las Leyes que los rijan.” </w:t>
      </w:r>
      <w:r>
        <w:rPr>
          <w:rFonts w:ascii="Palatino Linotype" w:hAnsi="Palatino Linotype" w:cs="Arial"/>
          <w:i/>
          <w:sz w:val="22"/>
          <w:szCs w:val="22"/>
          <w:lang w:eastAsia="es-MX"/>
        </w:rPr>
        <w:t>(Sic)</w:t>
      </w:r>
    </w:p>
    <w:p w:rsidR="00D202A0" w:rsidRDefault="00D202A0" w:rsidP="00D202A0">
      <w:pPr>
        <w:tabs>
          <w:tab w:val="right" w:leader="dot" w:pos="8505"/>
        </w:tabs>
        <w:spacing w:before="240" w:after="240" w:line="360" w:lineRule="auto"/>
        <w:contextualSpacing/>
        <w:jc w:val="both"/>
        <w:rPr>
          <w:rFonts w:ascii="Palatino Linotype" w:hAnsi="Palatino Linotype" w:cs="Arial"/>
          <w:lang w:eastAsia="es-MX"/>
        </w:rPr>
      </w:pPr>
    </w:p>
    <w:p w:rsidR="00D202A0" w:rsidRDefault="00D202A0" w:rsidP="00D202A0">
      <w:pPr>
        <w:spacing w:before="240" w:after="240" w:line="360" w:lineRule="auto"/>
        <w:jc w:val="both"/>
        <w:rPr>
          <w:rFonts w:ascii="Palatino Linotype" w:hAnsi="Palatino Linotype" w:cs="Arial"/>
        </w:rPr>
      </w:pPr>
      <w:r>
        <w:rPr>
          <w:rFonts w:ascii="Palatino Linotype" w:hAnsi="Palatino Linotype" w:cs="Arial"/>
          <w:lang w:eastAsia="es-MX"/>
        </w:rPr>
        <w:t xml:space="preserve">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 mientras que el personal de lista de raya se integra por los trabajadores temporales que no forman parte de la nómina, al </w:t>
      </w:r>
      <w:r>
        <w:rPr>
          <w:rFonts w:ascii="Palatino Linotype" w:hAnsi="Palatino Linotype" w:cs="Arial"/>
          <w:lang w:eastAsia="es-MX"/>
        </w:rPr>
        <w:lastRenderedPageBreak/>
        <w:t>respecto el</w:t>
      </w:r>
      <w:r>
        <w:rPr>
          <w:rFonts w:ascii="Palatino Linotype" w:hAnsi="Palatino Linotype" w:cs="Arial"/>
        </w:rPr>
        <w:t xml:space="preserve"> máximo tribunal jurisdiccional del país ha precisado que </w:t>
      </w:r>
      <w:r>
        <w:rPr>
          <w:rFonts w:ascii="Palatino Linotype" w:hAnsi="Palatino Linotype"/>
          <w:color w:val="000000"/>
        </w:rPr>
        <w:t>la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Pr>
          <w:rStyle w:val="Refdenotaalpie"/>
          <w:rFonts w:ascii="Palatino Linotype" w:eastAsiaTheme="minorEastAsia" w:hAnsi="Palatino Linotype" w:cs="Arial"/>
        </w:rPr>
        <w:footnoteReference w:id="1"/>
      </w:r>
      <w:r>
        <w:rPr>
          <w:rFonts w:ascii="Palatino Linotype" w:hAnsi="Palatino Linotype"/>
          <w:color w:val="000000"/>
        </w:rPr>
        <w:t>.</w:t>
      </w:r>
    </w:p>
    <w:p w:rsidR="00D202A0" w:rsidRPr="006F0935" w:rsidRDefault="00D202A0" w:rsidP="00D202A0">
      <w:pPr>
        <w:spacing w:before="240" w:after="240" w:line="360" w:lineRule="auto"/>
        <w:jc w:val="both"/>
        <w:rPr>
          <w:rFonts w:ascii="Palatino Linotype" w:hAnsi="Palatino Linotype"/>
          <w:color w:val="000000"/>
        </w:rPr>
      </w:pPr>
      <w:r>
        <w:rPr>
          <w:rFonts w:ascii="Palatino Linotype" w:hAnsi="Palatino Linotype"/>
          <w:color w:val="000000"/>
        </w:rPr>
        <w:t>Por consiguiente</w:t>
      </w:r>
      <w:r w:rsidRPr="006F0935">
        <w:rPr>
          <w:rFonts w:ascii="Palatino Linotype" w:hAnsi="Palatino Linotype"/>
          <w:color w:val="000000"/>
        </w:rPr>
        <w:t>, los servidores públicos de confianza, generales y de lista raya, constituyen el número de trabajadores que perciben una remuneración por los servicios que éstos le prestan al patrón, con las percepciones brutas, deducciones y el neto a recibir, delimitándose su diferencia por las funciones que realizan o bien por que la prestación del trabajo personal y/o subordinado cuando es por tiempo determinado o indeterminado como acontece con el personal de lista de raya.</w:t>
      </w:r>
    </w:p>
    <w:p w:rsidR="00D202A0" w:rsidRDefault="00D202A0" w:rsidP="00D202A0">
      <w:pPr>
        <w:spacing w:before="240" w:after="360" w:line="360" w:lineRule="auto"/>
        <w:ind w:right="51"/>
        <w:contextualSpacing/>
        <w:jc w:val="both"/>
        <w:rPr>
          <w:rFonts w:ascii="Palatino Linotype" w:hAnsi="Palatino Linotype" w:cs="Arial"/>
        </w:rPr>
      </w:pPr>
      <w:r>
        <w:rPr>
          <w:rFonts w:ascii="Palatino Linotype" w:hAnsi="Palatino Linotype" w:cs="Arial"/>
        </w:rPr>
        <w:t>De ahí que, el artículo 50 de la Ley del Trabajo de los Servidores Públicos del Estado y Municipios, dispone literalmente lo siguiente:</w:t>
      </w:r>
    </w:p>
    <w:p w:rsidR="00D202A0" w:rsidRDefault="00D202A0" w:rsidP="00D202A0">
      <w:pPr>
        <w:spacing w:before="240" w:after="360" w:line="360" w:lineRule="auto"/>
        <w:ind w:right="51"/>
        <w:contextualSpacing/>
        <w:jc w:val="both"/>
        <w:rPr>
          <w:rFonts w:ascii="Palatino Linotype" w:hAnsi="Palatino Linotype" w:cs="Arial"/>
        </w:rPr>
      </w:pPr>
    </w:p>
    <w:p w:rsidR="00D202A0" w:rsidRPr="00425674" w:rsidRDefault="00D202A0" w:rsidP="00D202A0">
      <w:pPr>
        <w:spacing w:before="240"/>
        <w:ind w:left="851" w:right="851"/>
        <w:contextualSpacing/>
        <w:jc w:val="both"/>
        <w:rPr>
          <w:rFonts w:ascii="Palatino Linotype" w:hAnsi="Palatino Linotype" w:cstheme="minorBidi"/>
          <w:i/>
          <w:sz w:val="22"/>
          <w:szCs w:val="22"/>
        </w:rPr>
      </w:pPr>
      <w:r w:rsidRPr="00425674">
        <w:rPr>
          <w:rFonts w:ascii="Palatino Linotype" w:hAnsi="Palatino Linotype"/>
          <w:i/>
          <w:sz w:val="22"/>
          <w:szCs w:val="22"/>
        </w:rPr>
        <w:t>“</w:t>
      </w:r>
      <w:r w:rsidRPr="00425674">
        <w:rPr>
          <w:rFonts w:ascii="Palatino Linotype" w:hAnsi="Palatino Linotype"/>
          <w:b/>
          <w:i/>
          <w:sz w:val="22"/>
          <w:szCs w:val="22"/>
        </w:rPr>
        <w:t>ARTÍCULO 50</w:t>
      </w:r>
      <w:r w:rsidRPr="00425674">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D202A0" w:rsidRPr="00425674" w:rsidRDefault="00D202A0" w:rsidP="00D202A0">
      <w:pPr>
        <w:spacing w:before="240"/>
        <w:ind w:left="851" w:right="851"/>
        <w:contextualSpacing/>
        <w:jc w:val="both"/>
        <w:rPr>
          <w:rFonts w:ascii="Palatino Linotype" w:hAnsi="Palatino Linotype"/>
          <w:b/>
          <w:i/>
          <w:sz w:val="22"/>
          <w:szCs w:val="22"/>
        </w:rPr>
      </w:pPr>
      <w:r w:rsidRPr="00425674">
        <w:rPr>
          <w:rFonts w:ascii="Palatino Linotype" w:hAnsi="Palatino Linotype"/>
          <w:i/>
          <w:sz w:val="22"/>
          <w:szCs w:val="22"/>
        </w:rPr>
        <w:t xml:space="preserve">Iguales consecuencias se generarán para todos los </w:t>
      </w:r>
      <w:r w:rsidRPr="00C0163B">
        <w:rPr>
          <w:rFonts w:ascii="Palatino Linotype" w:hAnsi="Palatino Linotype"/>
          <w:i/>
          <w:sz w:val="22"/>
          <w:szCs w:val="22"/>
        </w:rPr>
        <w:t>servidores públicos, cuando la relación de trabajo se formalice mediante un contrato o por encontrarse en lista de raya</w:t>
      </w:r>
      <w:r>
        <w:rPr>
          <w:rFonts w:ascii="Palatino Linotype" w:hAnsi="Palatino Linotype"/>
          <w:i/>
          <w:sz w:val="22"/>
          <w:szCs w:val="22"/>
        </w:rPr>
        <w:t>.”(Sic)</w:t>
      </w:r>
    </w:p>
    <w:p w:rsidR="00D202A0" w:rsidRDefault="00D202A0" w:rsidP="00D202A0">
      <w:pPr>
        <w:spacing w:before="240" w:after="360" w:line="360" w:lineRule="auto"/>
        <w:ind w:right="49"/>
        <w:jc w:val="both"/>
        <w:rPr>
          <w:rFonts w:ascii="Palatino Linotype" w:hAnsi="Palatino Linotype" w:cs="Arial"/>
        </w:rPr>
      </w:pPr>
      <w:r>
        <w:rPr>
          <w:rFonts w:ascii="Palatino Linotype" w:hAnsi="Palatino Linotype" w:cs="Arial"/>
        </w:rPr>
        <w:lastRenderedPageBreak/>
        <w:t>De lo anterior, se advierte que la relación laboral entre un servidor público y el Estado se formaliza mediante nombramiento, contrato, formato único de movimientos de personal o por encontrarse en lista de raya.</w:t>
      </w:r>
    </w:p>
    <w:p w:rsidR="00D202A0" w:rsidRDefault="00D202A0" w:rsidP="00D202A0">
      <w:pPr>
        <w:spacing w:before="240" w:after="240" w:line="360" w:lineRule="auto"/>
        <w:ind w:right="49"/>
        <w:jc w:val="both"/>
        <w:rPr>
          <w:rFonts w:ascii="Palatino Linotype" w:hAnsi="Palatino Linotype" w:cs="Arial"/>
        </w:rPr>
      </w:pPr>
      <w:r>
        <w:rPr>
          <w:rFonts w:ascii="Palatino Linotype" w:hAnsi="Palatino Linotype" w:cs="Arial"/>
        </w:rPr>
        <w:t>En ese contexto, tratándose de servidores públicos de los Municipios la Ley del Trabajo de los Servidores Públicos del Estado y Municipios, en su artículo 220-K, establece lo siguiente:</w:t>
      </w:r>
    </w:p>
    <w:p w:rsidR="00D202A0" w:rsidRPr="00425674" w:rsidRDefault="00D202A0" w:rsidP="00D202A0">
      <w:pPr>
        <w:tabs>
          <w:tab w:val="left" w:pos="9072"/>
        </w:tabs>
        <w:spacing w:before="240"/>
        <w:ind w:left="851" w:right="851"/>
        <w:contextualSpacing/>
        <w:jc w:val="both"/>
        <w:rPr>
          <w:rFonts w:ascii="Palatino Linotype" w:hAnsi="Palatino Linotype" w:cstheme="minorBidi"/>
          <w:bCs/>
          <w:i/>
          <w:sz w:val="22"/>
          <w:szCs w:val="22"/>
        </w:rPr>
      </w:pPr>
      <w:r w:rsidRPr="00425674">
        <w:rPr>
          <w:rFonts w:ascii="Palatino Linotype" w:hAnsi="Palatino Linotype"/>
          <w:b/>
          <w:bCs/>
          <w:i/>
          <w:sz w:val="22"/>
          <w:szCs w:val="22"/>
        </w:rPr>
        <w:t>“ARTÍCULO 220 K.-</w:t>
      </w:r>
      <w:r w:rsidRPr="00425674">
        <w:rPr>
          <w:rFonts w:ascii="Palatino Linotype" w:hAnsi="Palatino Linotype"/>
          <w:bCs/>
          <w:i/>
          <w:sz w:val="22"/>
          <w:szCs w:val="22"/>
        </w:rPr>
        <w:t xml:space="preserve"> La institución o dependencia pública tiene la obligación de conservar y exhibir en el proceso los documentos que a continuación se precisan:</w:t>
      </w:r>
    </w:p>
    <w:p w:rsidR="00D202A0" w:rsidRPr="00425674" w:rsidRDefault="00D202A0" w:rsidP="00D202A0">
      <w:pPr>
        <w:tabs>
          <w:tab w:val="left" w:pos="9072"/>
        </w:tabs>
        <w:spacing w:before="240"/>
        <w:ind w:left="851" w:right="851"/>
        <w:contextualSpacing/>
        <w:jc w:val="both"/>
        <w:rPr>
          <w:rFonts w:ascii="Palatino Linotype" w:hAnsi="Palatino Linotype"/>
          <w:bCs/>
          <w:i/>
          <w:sz w:val="22"/>
          <w:szCs w:val="22"/>
        </w:rPr>
      </w:pPr>
      <w:r>
        <w:rPr>
          <w:rFonts w:ascii="Palatino Linotype" w:hAnsi="Palatino Linotype"/>
          <w:bCs/>
          <w:i/>
          <w:sz w:val="22"/>
          <w:szCs w:val="22"/>
        </w:rPr>
        <w:t>…</w:t>
      </w:r>
    </w:p>
    <w:p w:rsidR="00D202A0" w:rsidRPr="00425674" w:rsidRDefault="00D202A0" w:rsidP="00D202A0">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 xml:space="preserve">II. Recibos de pagos de salarios o </w:t>
      </w:r>
      <w:r w:rsidRPr="00425674">
        <w:rPr>
          <w:rFonts w:ascii="Palatino Linotype" w:hAnsi="Palatino Linotype"/>
          <w:b/>
          <w:bCs/>
          <w:i/>
          <w:sz w:val="22"/>
          <w:szCs w:val="22"/>
        </w:rPr>
        <w:t>las constancias documentales del pago de salario</w:t>
      </w:r>
      <w:r w:rsidRPr="00425674">
        <w:rPr>
          <w:rFonts w:ascii="Palatino Linotype" w:hAnsi="Palatino Linotype"/>
          <w:bCs/>
          <w:i/>
          <w:sz w:val="22"/>
          <w:szCs w:val="22"/>
        </w:rPr>
        <w:t xml:space="preserve"> cuando sea por depósito o mediante información electrónica;</w:t>
      </w:r>
    </w:p>
    <w:p w:rsidR="00D202A0" w:rsidRPr="00425674" w:rsidRDefault="00D202A0" w:rsidP="00D202A0">
      <w:pPr>
        <w:tabs>
          <w:tab w:val="left" w:pos="9072"/>
        </w:tabs>
        <w:spacing w:before="240"/>
        <w:ind w:left="851" w:right="851"/>
        <w:contextualSpacing/>
        <w:jc w:val="both"/>
        <w:rPr>
          <w:rFonts w:ascii="Palatino Linotype" w:hAnsi="Palatino Linotype"/>
          <w:bCs/>
          <w:i/>
          <w:sz w:val="22"/>
          <w:szCs w:val="22"/>
        </w:rPr>
      </w:pPr>
      <w:r>
        <w:rPr>
          <w:rFonts w:ascii="Palatino Linotype" w:hAnsi="Palatino Linotype"/>
          <w:bCs/>
          <w:i/>
          <w:sz w:val="22"/>
          <w:szCs w:val="22"/>
        </w:rPr>
        <w:t>…</w:t>
      </w:r>
    </w:p>
    <w:p w:rsidR="00D202A0" w:rsidRPr="00425674" w:rsidRDefault="00D202A0" w:rsidP="00D202A0">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D202A0" w:rsidRPr="00425674" w:rsidRDefault="00D202A0" w:rsidP="00D202A0">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rsidR="00D202A0" w:rsidRPr="00425674" w:rsidRDefault="00D202A0" w:rsidP="00D202A0">
      <w:pPr>
        <w:tabs>
          <w:tab w:val="left" w:pos="9072"/>
        </w:tabs>
        <w:spacing w:before="240"/>
        <w:ind w:left="851" w:right="851"/>
        <w:contextualSpacing/>
        <w:jc w:val="both"/>
        <w:rPr>
          <w:rFonts w:ascii="Palatino Linotype" w:hAnsi="Palatino Linotype"/>
          <w:bCs/>
          <w:i/>
          <w:sz w:val="22"/>
          <w:szCs w:val="22"/>
        </w:rPr>
      </w:pPr>
    </w:p>
    <w:p w:rsidR="00D202A0" w:rsidRDefault="00D202A0" w:rsidP="00D202A0">
      <w:pPr>
        <w:spacing w:before="240" w:after="240" w:line="360" w:lineRule="auto"/>
        <w:ind w:right="51"/>
        <w:contextualSpacing/>
        <w:jc w:val="both"/>
        <w:rPr>
          <w:rFonts w:ascii="Palatino Linotype" w:hAnsi="Palatino Linotype" w:cs="Arial"/>
        </w:rPr>
      </w:pPr>
      <w:r>
        <w:rPr>
          <w:rFonts w:ascii="Palatino Linotype" w:hAnsi="Palatino Linotype" w:cs="Arial"/>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D202A0" w:rsidRDefault="00D202A0" w:rsidP="00D202A0">
      <w:pPr>
        <w:spacing w:before="240" w:after="240" w:line="360" w:lineRule="auto"/>
        <w:contextualSpacing/>
        <w:jc w:val="both"/>
        <w:rPr>
          <w:rFonts w:ascii="Palatino Linotype" w:hAnsi="Palatino Linotype" w:cs="Arial"/>
        </w:rPr>
      </w:pPr>
    </w:p>
    <w:p w:rsidR="00D202A0" w:rsidRDefault="00257D5A" w:rsidP="00D202A0">
      <w:pPr>
        <w:tabs>
          <w:tab w:val="right" w:leader="dot" w:pos="8505"/>
        </w:tabs>
        <w:spacing w:before="240" w:after="240" w:line="360" w:lineRule="auto"/>
        <w:jc w:val="both"/>
        <w:rPr>
          <w:rStyle w:val="apple-style-span"/>
          <w:rFonts w:cstheme="minorBidi"/>
          <w:color w:val="000000"/>
        </w:rPr>
      </w:pPr>
      <w:r w:rsidRPr="00257D5A">
        <w:rPr>
          <w:rFonts w:ascii="Palatino Linotype" w:hAnsi="Palatino Linotype"/>
        </w:rPr>
        <w:lastRenderedPageBreak/>
        <w:t xml:space="preserve">Bajo esa óptica, </w:t>
      </w:r>
      <w:r w:rsidR="00D202A0" w:rsidRPr="00257D5A">
        <w:rPr>
          <w:rFonts w:ascii="Palatino Linotype" w:hAnsi="Palatino Linotype"/>
        </w:rPr>
        <w:t xml:space="preserve">la Ley de Fiscalización </w:t>
      </w:r>
      <w:r w:rsidRPr="00257D5A">
        <w:rPr>
          <w:rFonts w:ascii="Palatino Linotype" w:hAnsi="Palatino Linotype"/>
        </w:rPr>
        <w:t>Superior del Estado de México</w:t>
      </w:r>
      <w:r w:rsidR="00D202A0" w:rsidRPr="00257D5A">
        <w:rPr>
          <w:rFonts w:ascii="Palatino Linotype" w:hAnsi="Palatino Linotype"/>
        </w:rPr>
        <w:t xml:space="preserve">, </w:t>
      </w:r>
      <w:r>
        <w:rPr>
          <w:rFonts w:ascii="Palatino Linotype" w:hAnsi="Palatino Linotype"/>
        </w:rPr>
        <w:t>señala que</w:t>
      </w:r>
      <w:r w:rsidR="00D202A0" w:rsidRPr="00257D5A">
        <w:rPr>
          <w:rFonts w:ascii="Palatino Linotype" w:hAnsi="Palatino Linotype"/>
        </w:rPr>
        <w:t xml:space="preserve"> los municipios que </w:t>
      </w:r>
      <w:r w:rsidR="00D202A0">
        <w:rPr>
          <w:rFonts w:ascii="Palatino Linotype" w:hAnsi="Palatino Linotype"/>
          <w:color w:val="000000"/>
        </w:rPr>
        <w:t xml:space="preserve">conforman el Estado de México, entre ellos el Sujeto Obligado son considerados como entes fiscalizables, como así lo señala el artículo 4 fracción II de la </w:t>
      </w:r>
      <w:r w:rsidR="00D202A0">
        <w:rPr>
          <w:rStyle w:val="apple-style-span"/>
          <w:rFonts w:ascii="Palatino Linotype" w:hAnsi="Palatino Linotype" w:cs="Arial"/>
          <w:color w:val="000000"/>
        </w:rPr>
        <w:t xml:space="preserve">Ley de Fiscalización Superior del </w:t>
      </w:r>
      <w:r>
        <w:rPr>
          <w:rStyle w:val="apple-style-span"/>
          <w:rFonts w:ascii="Palatino Linotype" w:hAnsi="Palatino Linotype" w:cs="Arial"/>
          <w:color w:val="000000"/>
        </w:rPr>
        <w:t>Estado de México, el cual establece lo siguiente</w:t>
      </w:r>
      <w:r w:rsidR="00D202A0">
        <w:rPr>
          <w:rStyle w:val="apple-style-span"/>
          <w:rFonts w:ascii="Palatino Linotype" w:hAnsi="Palatino Linotype" w:cs="Arial"/>
          <w:color w:val="000000"/>
        </w:rPr>
        <w:t>:</w:t>
      </w:r>
    </w:p>
    <w:p w:rsidR="00D202A0" w:rsidRDefault="00D202A0" w:rsidP="00D202A0">
      <w:pPr>
        <w:autoSpaceDE w:val="0"/>
        <w:autoSpaceDN w:val="0"/>
        <w:adjustRightInd w:val="0"/>
        <w:spacing w:before="240"/>
        <w:ind w:left="851" w:right="851"/>
        <w:contextualSpacing/>
        <w:jc w:val="both"/>
        <w:rPr>
          <w:rFonts w:ascii="Palatino Linotype" w:hAnsi="Palatino Linotype" w:cs="Arial"/>
          <w:i/>
          <w:sz w:val="22"/>
          <w:szCs w:val="22"/>
          <w:lang w:eastAsia="es-MX"/>
        </w:rPr>
      </w:pPr>
      <w:r>
        <w:rPr>
          <w:rFonts w:ascii="Palatino Linotype" w:hAnsi="Palatino Linotype" w:cs="Arial"/>
          <w:b/>
          <w:bCs/>
          <w:i/>
          <w:lang w:eastAsia="es-MX"/>
        </w:rPr>
        <w:t>“</w:t>
      </w:r>
      <w:r w:rsidRPr="00425674">
        <w:rPr>
          <w:rFonts w:ascii="Palatino Linotype" w:hAnsi="Palatino Linotype" w:cs="Arial"/>
          <w:b/>
          <w:bCs/>
          <w:i/>
          <w:sz w:val="22"/>
          <w:szCs w:val="22"/>
          <w:lang w:eastAsia="es-MX"/>
        </w:rPr>
        <w:t xml:space="preserve">Artículo 4. </w:t>
      </w:r>
      <w:r w:rsidRPr="00425674">
        <w:rPr>
          <w:rFonts w:ascii="Palatino Linotype" w:hAnsi="Palatino Linotype" w:cs="Arial"/>
          <w:i/>
          <w:sz w:val="22"/>
          <w:szCs w:val="22"/>
          <w:lang w:eastAsia="es-MX"/>
        </w:rPr>
        <w:t>Son sujetos de fiscalización:</w:t>
      </w:r>
    </w:p>
    <w:p w:rsidR="00D202A0" w:rsidRPr="000B2171" w:rsidRDefault="00D202A0" w:rsidP="00D202A0">
      <w:pPr>
        <w:autoSpaceDE w:val="0"/>
        <w:autoSpaceDN w:val="0"/>
        <w:adjustRightInd w:val="0"/>
        <w:spacing w:before="240"/>
        <w:ind w:left="851" w:right="851"/>
        <w:contextualSpacing/>
        <w:jc w:val="both"/>
        <w:rPr>
          <w:rFonts w:cs="Arial"/>
          <w:i/>
          <w:sz w:val="22"/>
          <w:szCs w:val="22"/>
          <w:lang w:eastAsia="es-MX"/>
        </w:rPr>
      </w:pPr>
      <w:r w:rsidRPr="000B2171">
        <w:rPr>
          <w:rFonts w:ascii="Palatino Linotype" w:hAnsi="Palatino Linotype" w:cs="Arial"/>
          <w:bCs/>
          <w:i/>
          <w:lang w:eastAsia="es-MX"/>
        </w:rPr>
        <w:t>…</w:t>
      </w:r>
    </w:p>
    <w:p w:rsidR="00D202A0" w:rsidRPr="000B2171" w:rsidRDefault="00D202A0" w:rsidP="00D202A0">
      <w:pPr>
        <w:autoSpaceDE w:val="0"/>
        <w:autoSpaceDN w:val="0"/>
        <w:adjustRightInd w:val="0"/>
        <w:spacing w:before="240" w:after="160"/>
        <w:ind w:left="851" w:right="851"/>
        <w:contextualSpacing/>
        <w:jc w:val="both"/>
        <w:rPr>
          <w:rStyle w:val="apple-style-span"/>
          <w:b/>
          <w:color w:val="000000"/>
          <w:sz w:val="22"/>
          <w:szCs w:val="22"/>
          <w:lang w:eastAsia="en-US"/>
        </w:rPr>
      </w:pPr>
      <w:r>
        <w:rPr>
          <w:rFonts w:ascii="Palatino Linotype" w:hAnsi="Palatino Linotype" w:cs="Arial"/>
          <w:i/>
          <w:sz w:val="22"/>
          <w:szCs w:val="22"/>
          <w:lang w:eastAsia="es-MX"/>
        </w:rPr>
        <w:t xml:space="preserve">I. </w:t>
      </w:r>
      <w:r w:rsidRPr="000B2171">
        <w:rPr>
          <w:rFonts w:ascii="Palatino Linotype" w:hAnsi="Palatino Linotype" w:cs="Arial"/>
          <w:i/>
          <w:sz w:val="22"/>
          <w:szCs w:val="22"/>
          <w:lang w:eastAsia="es-MX"/>
        </w:rPr>
        <w:t xml:space="preserve">Los </w:t>
      </w:r>
      <w:r>
        <w:rPr>
          <w:rFonts w:ascii="Palatino Linotype" w:hAnsi="Palatino Linotype" w:cs="Arial"/>
          <w:i/>
          <w:sz w:val="22"/>
          <w:szCs w:val="22"/>
          <w:lang w:eastAsia="es-MX"/>
        </w:rPr>
        <w:t>municipios del Estado de México…</w:t>
      </w:r>
      <w:r w:rsidRPr="000B2171">
        <w:rPr>
          <w:rFonts w:ascii="Palatino Linotype" w:hAnsi="Palatino Linotype" w:cs="Arial"/>
          <w:i/>
          <w:sz w:val="22"/>
          <w:szCs w:val="22"/>
          <w:lang w:eastAsia="es-MX"/>
        </w:rPr>
        <w:t xml:space="preserve">” </w:t>
      </w:r>
      <w:r w:rsidRPr="000B2171">
        <w:rPr>
          <w:rFonts w:ascii="Palatino Linotype" w:hAnsi="Palatino Linotype" w:cs="Arial"/>
          <w:b/>
          <w:i/>
          <w:sz w:val="22"/>
          <w:szCs w:val="22"/>
          <w:lang w:eastAsia="es-MX"/>
        </w:rPr>
        <w:t>[Sic]</w:t>
      </w:r>
    </w:p>
    <w:p w:rsidR="00D202A0" w:rsidRDefault="00D202A0" w:rsidP="00D202A0">
      <w:pPr>
        <w:autoSpaceDE w:val="0"/>
        <w:autoSpaceDN w:val="0"/>
        <w:adjustRightInd w:val="0"/>
        <w:spacing w:line="360" w:lineRule="auto"/>
        <w:ind w:right="49"/>
        <w:jc w:val="both"/>
        <w:rPr>
          <w:rStyle w:val="apple-style-span"/>
          <w:rFonts w:ascii="Palatino Linotype" w:hAnsi="Palatino Linotype" w:cs="Arial"/>
          <w:color w:val="000000"/>
        </w:rPr>
      </w:pPr>
    </w:p>
    <w:p w:rsidR="00D202A0" w:rsidRDefault="00D202A0" w:rsidP="00D202A0">
      <w:pPr>
        <w:autoSpaceDE w:val="0"/>
        <w:autoSpaceDN w:val="0"/>
        <w:adjustRightInd w:val="0"/>
        <w:spacing w:line="360" w:lineRule="auto"/>
        <w:ind w:right="49"/>
        <w:jc w:val="both"/>
        <w:rPr>
          <w:rStyle w:val="apple-style-span"/>
          <w:rFonts w:ascii="Palatino Linotype" w:hAnsi="Palatino Linotype" w:cs="Arial"/>
          <w:color w:val="000000"/>
        </w:rPr>
      </w:pPr>
      <w:r>
        <w:rPr>
          <w:rStyle w:val="apple-style-span"/>
          <w:rFonts w:ascii="Palatino Linotype" w:hAnsi="Palatino Linotype" w:cs="Arial"/>
          <w:color w:val="000000"/>
        </w:rPr>
        <w:t xml:space="preserve">Así mismo, el ordenamiento legal referido señala en su artículo 8, fracción XI, que el Órgano Superior de Fiscalización del Estado de México, tiene como una de sus atribuciones el de emitir los </w:t>
      </w:r>
      <w:r>
        <w:rPr>
          <w:rStyle w:val="apple-style-span"/>
          <w:rFonts w:ascii="Palatino Linotype" w:hAnsi="Palatino Linotype" w:cs="Arial"/>
          <w:b/>
          <w:color w:val="000000"/>
        </w:rPr>
        <w:t>Lineamientos para la Integración del Informe Mensual de forma anual</w:t>
      </w:r>
      <w:r>
        <w:rPr>
          <w:rStyle w:val="apple-style-span"/>
          <w:rFonts w:ascii="Palatino Linotype" w:hAnsi="Palatino Linotype" w:cs="Arial"/>
          <w:color w:val="000000"/>
        </w:rPr>
        <w:t>, como así se advierte a continuación:</w:t>
      </w:r>
    </w:p>
    <w:p w:rsidR="00D202A0" w:rsidRDefault="00D202A0" w:rsidP="00D202A0">
      <w:pPr>
        <w:autoSpaceDE w:val="0"/>
        <w:autoSpaceDN w:val="0"/>
        <w:adjustRightInd w:val="0"/>
        <w:spacing w:line="360" w:lineRule="auto"/>
        <w:ind w:right="49"/>
        <w:jc w:val="both"/>
        <w:rPr>
          <w:rStyle w:val="apple-style-span"/>
          <w:rFonts w:ascii="Palatino Linotype" w:eastAsiaTheme="minorHAnsi" w:hAnsi="Palatino Linotype" w:cs="Arial"/>
          <w:bCs/>
          <w:color w:val="000000"/>
        </w:rPr>
      </w:pPr>
    </w:p>
    <w:p w:rsidR="00D202A0" w:rsidRPr="00A235C8" w:rsidRDefault="00D202A0" w:rsidP="00D202A0">
      <w:pPr>
        <w:autoSpaceDE w:val="0"/>
        <w:autoSpaceDN w:val="0"/>
        <w:adjustRightInd w:val="0"/>
        <w:spacing w:before="240"/>
        <w:ind w:left="851" w:right="851"/>
        <w:contextualSpacing/>
        <w:jc w:val="both"/>
        <w:rPr>
          <w:i/>
          <w:sz w:val="22"/>
          <w:szCs w:val="22"/>
        </w:rPr>
      </w:pPr>
      <w:r w:rsidRPr="00A235C8">
        <w:rPr>
          <w:rFonts w:ascii="Palatino Linotype" w:hAnsi="Palatino Linotype" w:cs="Arial"/>
          <w:b/>
          <w:bCs/>
          <w:i/>
          <w:sz w:val="22"/>
          <w:szCs w:val="22"/>
        </w:rPr>
        <w:t xml:space="preserve">“Artículo 8. </w:t>
      </w:r>
      <w:r w:rsidRPr="00A235C8">
        <w:rPr>
          <w:rFonts w:ascii="Palatino Linotype" w:hAnsi="Palatino Linotype" w:cs="Arial"/>
          <w:i/>
          <w:sz w:val="22"/>
          <w:szCs w:val="22"/>
        </w:rPr>
        <w:t>El Órgano Superior tendrá las siguientes atribuciones:</w:t>
      </w:r>
    </w:p>
    <w:p w:rsidR="00D202A0" w:rsidRPr="00A235C8" w:rsidRDefault="00D202A0" w:rsidP="00D202A0">
      <w:pPr>
        <w:autoSpaceDE w:val="0"/>
        <w:autoSpaceDN w:val="0"/>
        <w:adjustRightInd w:val="0"/>
        <w:spacing w:before="240"/>
        <w:ind w:left="851" w:right="851"/>
        <w:contextualSpacing/>
        <w:jc w:val="both"/>
        <w:rPr>
          <w:rFonts w:ascii="Palatino Linotype" w:hAnsi="Palatino Linotype" w:cs="Arial"/>
          <w:i/>
          <w:sz w:val="22"/>
          <w:szCs w:val="22"/>
        </w:rPr>
      </w:pPr>
      <w:r>
        <w:rPr>
          <w:rFonts w:ascii="Palatino Linotype" w:hAnsi="Palatino Linotype" w:cs="Arial"/>
          <w:i/>
          <w:sz w:val="22"/>
          <w:szCs w:val="22"/>
        </w:rPr>
        <w:t>…</w:t>
      </w:r>
    </w:p>
    <w:p w:rsidR="00D202A0" w:rsidRPr="00A235C8" w:rsidRDefault="00D202A0" w:rsidP="00D202A0">
      <w:pPr>
        <w:autoSpaceDE w:val="0"/>
        <w:autoSpaceDN w:val="0"/>
        <w:adjustRightInd w:val="0"/>
        <w:spacing w:before="240"/>
        <w:ind w:left="851" w:right="851"/>
        <w:contextualSpacing/>
        <w:jc w:val="both"/>
        <w:rPr>
          <w:rStyle w:val="apple-style-span"/>
          <w:rFonts w:ascii="Palatino Linotype" w:hAnsi="Palatino Linotype" w:cs="Arial"/>
          <w:b/>
          <w:i/>
          <w:sz w:val="22"/>
          <w:szCs w:val="22"/>
        </w:rPr>
      </w:pPr>
      <w:r w:rsidRPr="00A235C8">
        <w:rPr>
          <w:rFonts w:ascii="Palatino Linotype" w:hAnsi="Palatino Linotype" w:cs="Arial"/>
          <w:b/>
          <w:bCs/>
          <w:i/>
          <w:sz w:val="22"/>
          <w:szCs w:val="22"/>
        </w:rPr>
        <w:t xml:space="preserve">XI. </w:t>
      </w:r>
      <w:r w:rsidRPr="00A235C8">
        <w:rPr>
          <w:rFonts w:ascii="Palatino Linotype" w:hAnsi="Palatino Linotype" w:cs="Arial"/>
          <w:i/>
          <w:sz w:val="22"/>
          <w:szCs w:val="22"/>
        </w:rPr>
        <w:t>Establecer los lineamientos, criterios, procedimientos, métodos y sistemas para las acciones de control y evaluación, necesarios para la fiscalización de las cuentas públi</w:t>
      </w:r>
      <w:r>
        <w:rPr>
          <w:rFonts w:ascii="Palatino Linotype" w:hAnsi="Palatino Linotype" w:cs="Arial"/>
          <w:i/>
          <w:sz w:val="22"/>
          <w:szCs w:val="22"/>
        </w:rPr>
        <w:t>cas y los informes trimestrales…</w:t>
      </w:r>
      <w:r w:rsidRPr="00A235C8">
        <w:rPr>
          <w:rStyle w:val="apple-style-span"/>
          <w:rFonts w:ascii="Palatino Linotype" w:hAnsi="Palatino Linotype" w:cs="Arial"/>
          <w:color w:val="000000"/>
          <w:sz w:val="22"/>
          <w:szCs w:val="22"/>
        </w:rPr>
        <w:t xml:space="preserve">” </w:t>
      </w:r>
      <w:r w:rsidRPr="00A235C8">
        <w:rPr>
          <w:rStyle w:val="apple-style-span"/>
          <w:rFonts w:ascii="Palatino Linotype" w:hAnsi="Palatino Linotype" w:cs="Arial"/>
          <w:b/>
          <w:sz w:val="22"/>
          <w:szCs w:val="22"/>
        </w:rPr>
        <w:t>(</w:t>
      </w:r>
      <w:r w:rsidRPr="00A235C8">
        <w:rPr>
          <w:rStyle w:val="apple-style-span"/>
          <w:rFonts w:ascii="Palatino Linotype" w:hAnsi="Palatino Linotype" w:cs="Arial"/>
          <w:b/>
          <w:i/>
          <w:sz w:val="22"/>
          <w:szCs w:val="22"/>
        </w:rPr>
        <w:t>Sic)</w:t>
      </w:r>
    </w:p>
    <w:p w:rsidR="00D202A0" w:rsidRDefault="00D202A0" w:rsidP="00D202A0">
      <w:pPr>
        <w:spacing w:line="360" w:lineRule="auto"/>
        <w:contextualSpacing/>
        <w:jc w:val="both"/>
        <w:rPr>
          <w:rFonts w:ascii="Palatino Linotype" w:hAnsi="Palatino Linotype"/>
        </w:rPr>
      </w:pPr>
    </w:p>
    <w:p w:rsidR="00D202A0" w:rsidRDefault="00D202A0" w:rsidP="00D202A0">
      <w:pPr>
        <w:spacing w:line="360" w:lineRule="auto"/>
        <w:contextualSpacing/>
        <w:jc w:val="both"/>
        <w:rPr>
          <w:rFonts w:ascii="Palatino Linotype" w:hAnsi="Palatino Linotype"/>
        </w:rPr>
      </w:pPr>
      <w:r>
        <w:rPr>
          <w:rFonts w:ascii="Palatino Linotype" w:hAnsi="Palatino Linotype"/>
        </w:rPr>
        <w:t xml:space="preserve">Ahora bien, dichos </w:t>
      </w:r>
      <w:r w:rsidRPr="00201BE8">
        <w:rPr>
          <w:rFonts w:ascii="Palatino Linotype" w:hAnsi="Palatino Linotype"/>
        </w:rPr>
        <w:t xml:space="preserve">Lineamientos </w:t>
      </w:r>
      <w:r w:rsidRPr="00201BE8">
        <w:rPr>
          <w:rStyle w:val="apple-style-span"/>
          <w:rFonts w:ascii="Palatino Linotype" w:hAnsi="Palatino Linotype" w:cs="Arial"/>
          <w:color w:val="000000"/>
        </w:rPr>
        <w:t>para la Integración del Informe Mensual</w:t>
      </w:r>
      <w:r>
        <w:rPr>
          <w:rFonts w:ascii="Palatino Linotype" w:hAnsi="Palatino Linotype"/>
        </w:rPr>
        <w:t xml:space="preserve">, emitidos por el Órgano Superior de Fiscalización del Estado de México </w:t>
      </w:r>
      <w:r w:rsidRPr="00201BE8">
        <w:rPr>
          <w:rStyle w:val="apple-style-span"/>
          <w:rFonts w:ascii="Palatino Linotype" w:hAnsi="Palatino Linotype" w:cs="Arial"/>
          <w:color w:val="000000"/>
        </w:rPr>
        <w:t>para el ejercicio fiscal 2018</w:t>
      </w:r>
      <w:r>
        <w:rPr>
          <w:rFonts w:ascii="Palatino Linotype" w:hAnsi="Palatino Linotype"/>
        </w:rPr>
        <w:t>, contienen los criterios, formatos y documentación necesaria para presentar los informes mensuales, dentro de los cuales se destaca en el Disco 4, lo relativo a la información de nómina, como así se aprecia en la siguiente imagen que de manera ilustrativa se inserta:</w:t>
      </w:r>
    </w:p>
    <w:p w:rsidR="00D202A0" w:rsidRDefault="00D202A0" w:rsidP="00D202A0">
      <w:pPr>
        <w:spacing w:before="240" w:after="240" w:line="360" w:lineRule="auto"/>
        <w:contextualSpacing/>
        <w:jc w:val="both"/>
        <w:rPr>
          <w:rFonts w:ascii="Palatino Linotype" w:hAnsi="Palatino Linotype"/>
        </w:rPr>
      </w:pPr>
    </w:p>
    <w:p w:rsidR="00D202A0" w:rsidRDefault="00D202A0" w:rsidP="00D202A0">
      <w:pPr>
        <w:spacing w:before="240" w:after="240" w:line="360" w:lineRule="auto"/>
        <w:contextualSpacing/>
        <w:jc w:val="both"/>
        <w:rPr>
          <w:rFonts w:ascii="Palatino Linotype" w:hAnsi="Palatino Linotype"/>
        </w:rPr>
      </w:pPr>
      <w:r>
        <w:rPr>
          <w:noProof/>
          <w:lang w:val="es-MX" w:eastAsia="es-MX"/>
        </w:rPr>
        <w:lastRenderedPageBreak/>
        <w:drawing>
          <wp:anchor distT="0" distB="0" distL="114300" distR="114300" simplePos="0" relativeHeight="251659264" behindDoc="0" locked="0" layoutInCell="1" allowOverlap="1" wp14:anchorId="39978EDE" wp14:editId="0650AD4C">
            <wp:simplePos x="0" y="0"/>
            <wp:positionH relativeFrom="column">
              <wp:posOffset>142911</wp:posOffset>
            </wp:positionH>
            <wp:positionV relativeFrom="paragraph">
              <wp:posOffset>137330</wp:posOffset>
            </wp:positionV>
            <wp:extent cx="5332730" cy="308673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528" t="13062" r="33127" b="5226"/>
                    <a:stretch/>
                  </pic:blipFill>
                  <pic:spPr bwMode="auto">
                    <a:xfrm>
                      <a:off x="0" y="0"/>
                      <a:ext cx="5332730" cy="308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6014FD7F" wp14:editId="204DD684">
                <wp:simplePos x="0" y="0"/>
                <wp:positionH relativeFrom="column">
                  <wp:posOffset>214192</wp:posOffset>
                </wp:positionH>
                <wp:positionV relativeFrom="paragraph">
                  <wp:posOffset>47509</wp:posOffset>
                </wp:positionV>
                <wp:extent cx="2208530" cy="115766"/>
                <wp:effectExtent l="57150" t="38100" r="77470" b="93980"/>
                <wp:wrapNone/>
                <wp:docPr id="3" name="Rectángulo 3"/>
                <wp:cNvGraphicFramePr/>
                <a:graphic xmlns:a="http://schemas.openxmlformats.org/drawingml/2006/main">
                  <a:graphicData uri="http://schemas.microsoft.com/office/word/2010/wordprocessingShape">
                    <wps:wsp>
                      <wps:cNvSpPr/>
                      <wps:spPr>
                        <a:xfrm>
                          <a:off x="0" y="0"/>
                          <a:ext cx="2208530" cy="115766"/>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C2FB2" id="Rectángulo 3" o:spid="_x0000_s1026" style="position:absolute;margin-left:16.85pt;margin-top:3.75pt;width:173.9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" filled="f" strokecolor="#5b9bd5 [3204]" strokeweight="2.25pt"/>
            </w:pict>
          </mc:Fallback>
        </mc:AlternateContent>
      </w: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line="360" w:lineRule="auto"/>
        <w:jc w:val="both"/>
        <w:rPr>
          <w:rFonts w:ascii="Palatino Linotype" w:hAnsi="Palatino Linotype"/>
        </w:rPr>
      </w:pPr>
      <w:r>
        <w:rPr>
          <w:rFonts w:ascii="Palatino Linotype" w:hAnsi="Palatino Linotype"/>
        </w:rPr>
        <w:t>Por otra parte, resulta oportuno</w:t>
      </w:r>
      <w:r w:rsidRPr="00E3009B">
        <w:rPr>
          <w:rFonts w:ascii="Palatino Linotype" w:hAnsi="Palatino Linotype"/>
        </w:rPr>
        <w:t xml:space="preserve">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D202A0" w:rsidRPr="00E3009B" w:rsidRDefault="00D202A0" w:rsidP="00D202A0">
      <w:pPr>
        <w:spacing w:line="360" w:lineRule="auto"/>
        <w:jc w:val="both"/>
        <w:rPr>
          <w:rFonts w:ascii="Palatino Linotype" w:hAnsi="Palatino Linotype"/>
        </w:rPr>
      </w:pPr>
    </w:p>
    <w:p w:rsidR="00D202A0" w:rsidRPr="00E3009B" w:rsidRDefault="00D202A0" w:rsidP="00D202A0">
      <w:pPr>
        <w:spacing w:before="240"/>
        <w:ind w:left="851" w:right="851"/>
        <w:contextualSpacing/>
        <w:jc w:val="both"/>
        <w:rPr>
          <w:rFonts w:ascii="Palatino Linotype" w:hAnsi="Palatino Linotype"/>
          <w:i/>
          <w:sz w:val="22"/>
          <w:szCs w:val="22"/>
        </w:rPr>
      </w:pPr>
      <w:r w:rsidRPr="00E3009B">
        <w:rPr>
          <w:rFonts w:ascii="Palatino Linotype" w:hAnsi="Palatino Linotype"/>
          <w:b/>
          <w:i/>
          <w:sz w:val="22"/>
          <w:szCs w:val="22"/>
        </w:rPr>
        <w:t>“Artículo 32</w:t>
      </w:r>
      <w:r w:rsidRPr="00E3009B">
        <w:rPr>
          <w:rFonts w:ascii="Palatino Linotype" w:hAnsi="Palatino Linotype"/>
          <w:i/>
          <w:sz w:val="22"/>
          <w:szCs w:val="22"/>
        </w:rPr>
        <w:t>.- El Gobernador del Estado, por conducto del titular de la dependencia competente, presentará a la Legislatura la cuenta pública del Gobierno del Estado del ejercicio fiscal inmediato anterior, a más tardar el quince de mayo de cada año.</w:t>
      </w:r>
    </w:p>
    <w:p w:rsidR="00D202A0" w:rsidRPr="00E3009B" w:rsidRDefault="00D202A0" w:rsidP="00D202A0">
      <w:pPr>
        <w:spacing w:before="240"/>
        <w:ind w:left="851" w:right="851"/>
        <w:contextualSpacing/>
        <w:jc w:val="both"/>
        <w:rPr>
          <w:rFonts w:ascii="Palatino Linotype" w:hAnsi="Palatino Linotype"/>
          <w:i/>
          <w:sz w:val="22"/>
          <w:szCs w:val="22"/>
        </w:rPr>
      </w:pPr>
      <w:r w:rsidRPr="00E3009B">
        <w:rPr>
          <w:rFonts w:ascii="Palatino Linotype" w:hAnsi="Palatino Linotype"/>
          <w:i/>
          <w:sz w:val="22"/>
          <w:szCs w:val="22"/>
        </w:rPr>
        <w:t xml:space="preserve">Los Presidentes Municipales presentarán a la Legislatura las cuentas públicas anuales de sus respectivos municipios, del ejercicio fiscal inmediato anterior, dentro de los quince primeros días del mes de marzo de cada año; asimismo, </w:t>
      </w:r>
      <w:r w:rsidRPr="00E3009B">
        <w:rPr>
          <w:rFonts w:ascii="Palatino Linotype" w:hAnsi="Palatino Linotype"/>
          <w:b/>
          <w:i/>
          <w:sz w:val="22"/>
          <w:szCs w:val="22"/>
        </w:rPr>
        <w:t xml:space="preserve">los </w:t>
      </w:r>
      <w:r w:rsidRPr="00E3009B">
        <w:rPr>
          <w:rFonts w:ascii="Palatino Linotype" w:hAnsi="Palatino Linotype"/>
          <w:b/>
          <w:i/>
          <w:sz w:val="22"/>
          <w:szCs w:val="22"/>
        </w:rPr>
        <w:lastRenderedPageBreak/>
        <w:t>informes mensuales los deberán presentar dentro de los veinte días posteriores al término del mes correspondiente</w:t>
      </w:r>
      <w:r w:rsidRPr="00E3009B">
        <w:rPr>
          <w:rFonts w:ascii="Palatino Linotype" w:hAnsi="Palatino Linotype"/>
          <w:i/>
          <w:sz w:val="22"/>
          <w:szCs w:val="22"/>
        </w:rPr>
        <w:t>.”</w:t>
      </w:r>
      <w:r>
        <w:rPr>
          <w:rFonts w:ascii="Palatino Linotype" w:hAnsi="Palatino Linotype"/>
          <w:i/>
          <w:sz w:val="22"/>
          <w:szCs w:val="22"/>
        </w:rPr>
        <w:t>(Sic)</w:t>
      </w:r>
    </w:p>
    <w:p w:rsidR="00D202A0" w:rsidRDefault="00D202A0" w:rsidP="00D202A0">
      <w:pPr>
        <w:ind w:left="851" w:right="758"/>
        <w:jc w:val="both"/>
        <w:rPr>
          <w:rFonts w:ascii="Palatino Linotype" w:hAnsi="Palatino Linotype"/>
          <w:i/>
        </w:rPr>
      </w:pPr>
    </w:p>
    <w:p w:rsidR="00D202A0" w:rsidRPr="00E3009B" w:rsidRDefault="00D202A0" w:rsidP="00D202A0">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Lo que se robustece con lo establecido por </w:t>
      </w:r>
      <w:r w:rsidRPr="00E3009B">
        <w:rPr>
          <w:rFonts w:ascii="Palatino Linotype" w:hAnsi="Palatino Linotype"/>
        </w:rPr>
        <w:t xml:space="preserve">artículo 350 del Código Financiero del Estado de México y Municipios, </w:t>
      </w:r>
      <w:r>
        <w:rPr>
          <w:rFonts w:ascii="Palatino Linotype" w:hAnsi="Palatino Linotype"/>
        </w:rPr>
        <w:t>que señala</w:t>
      </w:r>
      <w:r w:rsidRPr="00E3009B">
        <w:rPr>
          <w:rFonts w:ascii="Palatino Linotype" w:hAnsi="Palatino Linotype"/>
        </w:rPr>
        <w:t>:</w:t>
      </w:r>
    </w:p>
    <w:p w:rsidR="00D202A0" w:rsidRPr="00E3009B" w:rsidRDefault="00D202A0" w:rsidP="00D202A0">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w:t>
      </w:r>
      <w:r w:rsidRPr="00E3009B">
        <w:rPr>
          <w:rFonts w:ascii="Palatino Linotype" w:hAnsi="Palatino Linotype"/>
          <w:b/>
          <w:i/>
          <w:sz w:val="22"/>
          <w:szCs w:val="22"/>
        </w:rPr>
        <w:t>Artículo 350</w:t>
      </w:r>
      <w:r w:rsidRPr="00E3009B">
        <w:rPr>
          <w:rFonts w:ascii="Palatino Linotype" w:hAnsi="Palatino Linotype"/>
          <w:i/>
          <w:sz w:val="22"/>
          <w:szCs w:val="22"/>
        </w:rPr>
        <w:t xml:space="preserve">.- Mensualmente dentro de los primeros veinte días hábiles, la Secretaría y las Tesorerías, enviarán para su análisis y evaluación al Órgano Superior de Fiscalización del Estado de México, la siguiente información: </w:t>
      </w:r>
    </w:p>
    <w:p w:rsidR="00D202A0" w:rsidRPr="00E3009B" w:rsidRDefault="00D202A0" w:rsidP="00D202A0">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 Información patrimonial. </w:t>
      </w:r>
    </w:p>
    <w:p w:rsidR="00D202A0" w:rsidRPr="00E3009B" w:rsidRDefault="00D202A0" w:rsidP="00D202A0">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II. Información presupuestal. </w:t>
      </w:r>
    </w:p>
    <w:p w:rsidR="00D202A0" w:rsidRPr="00E3009B" w:rsidRDefault="00D202A0" w:rsidP="00D202A0">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III. Información de la obra pública. </w:t>
      </w:r>
    </w:p>
    <w:p w:rsidR="00D202A0" w:rsidRPr="00E3009B" w:rsidRDefault="00D202A0" w:rsidP="00D202A0">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b/>
          <w:i/>
          <w:sz w:val="22"/>
          <w:szCs w:val="22"/>
        </w:rPr>
        <w:t>IV. Información de nómina</w:t>
      </w:r>
      <w:r w:rsidRPr="00E3009B">
        <w:rPr>
          <w:rFonts w:ascii="Palatino Linotype" w:hAnsi="Palatino Linotype"/>
          <w:i/>
          <w:sz w:val="22"/>
          <w:szCs w:val="22"/>
        </w:rPr>
        <w:t>.”</w:t>
      </w:r>
    </w:p>
    <w:p w:rsidR="00D202A0" w:rsidRDefault="00D202A0" w:rsidP="00D202A0">
      <w:pPr>
        <w:shd w:val="clear" w:color="auto" w:fill="FFFFFF"/>
        <w:spacing w:before="240" w:after="240" w:line="360" w:lineRule="auto"/>
        <w:jc w:val="both"/>
        <w:rPr>
          <w:rFonts w:asciiTheme="minorHAnsi" w:hAnsiTheme="minorHAnsi" w:cstheme="minorBidi"/>
          <w:noProof/>
          <w:sz w:val="22"/>
          <w:szCs w:val="22"/>
          <w:lang w:val="es-MX" w:eastAsia="es-MX"/>
        </w:rPr>
      </w:pPr>
    </w:p>
    <w:p w:rsidR="00D202A0" w:rsidRDefault="00D202A0" w:rsidP="00D202A0">
      <w:pPr>
        <w:shd w:val="clear" w:color="auto" w:fill="FFFFFF"/>
        <w:spacing w:before="240" w:after="240" w:line="360" w:lineRule="auto"/>
        <w:jc w:val="both"/>
        <w:rPr>
          <w:rFonts w:ascii="Palatino Linotype" w:hAnsi="Palatino Linotype" w:cs="Arial"/>
          <w:lang w:eastAsia="es-MX"/>
        </w:rPr>
      </w:pPr>
      <w:r>
        <w:rPr>
          <w:rFonts w:asciiTheme="minorHAnsi" w:hAnsiTheme="minorHAnsi" w:cstheme="minorBidi"/>
          <w:noProof/>
          <w:sz w:val="22"/>
          <w:szCs w:val="22"/>
          <w:lang w:val="es-MX" w:eastAsia="es-MX"/>
        </w:rPr>
        <w:drawing>
          <wp:anchor distT="0" distB="0" distL="114300" distR="114300" simplePos="0" relativeHeight="251661312" behindDoc="1" locked="0" layoutInCell="1" allowOverlap="1" wp14:anchorId="652B5693" wp14:editId="4AA53053">
            <wp:simplePos x="0" y="0"/>
            <wp:positionH relativeFrom="margin">
              <wp:posOffset>66829</wp:posOffset>
            </wp:positionH>
            <wp:positionV relativeFrom="paragraph">
              <wp:posOffset>1598948</wp:posOffset>
            </wp:positionV>
            <wp:extent cx="5544185" cy="3007478"/>
            <wp:effectExtent l="19050" t="19050" r="18415" b="2159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rotWithShape="1">
                    <a:blip r:embed="rId11">
                      <a:extLst>
                        <a:ext uri="{28A0092B-C50C-407E-A947-70E740481C1C}">
                          <a14:useLocalDpi xmlns:a14="http://schemas.microsoft.com/office/drawing/2010/main" val="0"/>
                        </a:ext>
                      </a:extLst>
                    </a:blip>
                    <a:srcRect b="31456"/>
                    <a:stretch/>
                  </pic:blipFill>
                  <pic:spPr bwMode="auto">
                    <a:xfrm>
                      <a:off x="0" y="0"/>
                      <a:ext cx="5549539" cy="3010382"/>
                    </a:xfrm>
                    <a:prstGeom prst="rect">
                      <a:avLst/>
                    </a:prstGeom>
                    <a:noFill/>
                    <a:ln w="9525" cap="flat" cmpd="sng" algn="ctr">
                      <a:solidFill>
                        <a:sysClr val="windowText" lastClr="000000">
                          <a:lumMod val="100000"/>
                          <a:lumOff val="0"/>
                        </a:sysClr>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lang w:eastAsia="es-MX"/>
        </w:rPr>
        <w:t>En ese sentido, los repetitivos Lineamientos para el ejercicio fiscal 2018, contienen entre otras cosas, los formatos que permiten recopilar la información correspondiente a la nómina general y el reporte de pagos a servidores públicos de mandos medios y superiores, como así se observa en las siguientes imágenes que manera ilustrativa se insertan:</w:t>
      </w: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E17F77" w:rsidP="00D202A0">
      <w:pPr>
        <w:spacing w:before="240" w:after="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w:lastRenderedPageBreak/>
        <w:drawing>
          <wp:anchor distT="0" distB="0" distL="114300" distR="114300" simplePos="0" relativeHeight="251662336" behindDoc="0" locked="0" layoutInCell="1" allowOverlap="1" wp14:anchorId="3E3BC1B6" wp14:editId="158329A1">
            <wp:simplePos x="0" y="0"/>
            <wp:positionH relativeFrom="margin">
              <wp:posOffset>112431</wp:posOffset>
            </wp:positionH>
            <wp:positionV relativeFrom="paragraph">
              <wp:posOffset>-55160</wp:posOffset>
            </wp:positionV>
            <wp:extent cx="5560060" cy="2742565"/>
            <wp:effectExtent l="19050" t="19050" r="21590" b="196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rotWithShape="1">
                    <a:blip r:embed="rId12">
                      <a:extLst>
                        <a:ext uri="{28A0092B-C50C-407E-A947-70E740481C1C}">
                          <a14:useLocalDpi xmlns:a14="http://schemas.microsoft.com/office/drawing/2010/main" val="0"/>
                        </a:ext>
                      </a:extLst>
                    </a:blip>
                    <a:srcRect b="28460"/>
                    <a:stretch/>
                  </pic:blipFill>
                  <pic:spPr bwMode="auto">
                    <a:xfrm>
                      <a:off x="0" y="0"/>
                      <a:ext cx="5560060" cy="2742565"/>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E17F77" w:rsidRDefault="00E17F77" w:rsidP="00D202A0">
      <w:pPr>
        <w:spacing w:before="240" w:after="240" w:line="360" w:lineRule="auto"/>
        <w:contextualSpacing/>
        <w:jc w:val="both"/>
        <w:rPr>
          <w:rFonts w:ascii="Palatino Linotype" w:hAnsi="Palatino Linotype" w:cs="Arial"/>
        </w:rPr>
      </w:pPr>
    </w:p>
    <w:p w:rsidR="00E17F77" w:rsidRDefault="00E17F77" w:rsidP="00D202A0">
      <w:pPr>
        <w:spacing w:before="240" w:after="240" w:line="360" w:lineRule="auto"/>
        <w:contextualSpacing/>
        <w:jc w:val="both"/>
        <w:rPr>
          <w:rFonts w:ascii="Palatino Linotype" w:hAnsi="Palatino Linotype" w:cs="Arial"/>
        </w:rPr>
      </w:pPr>
    </w:p>
    <w:p w:rsidR="00E17F77" w:rsidRDefault="00E17F77" w:rsidP="00D202A0">
      <w:pPr>
        <w:spacing w:before="240" w:after="240" w:line="360" w:lineRule="auto"/>
        <w:contextualSpacing/>
        <w:jc w:val="both"/>
        <w:rPr>
          <w:rFonts w:ascii="Palatino Linotype" w:hAnsi="Palatino Linotype" w:cs="Arial"/>
        </w:rPr>
      </w:pPr>
    </w:p>
    <w:p w:rsidR="00E17F77" w:rsidRDefault="00E17F77" w:rsidP="00D202A0">
      <w:pPr>
        <w:spacing w:before="240" w:after="240" w:line="360" w:lineRule="auto"/>
        <w:contextualSpacing/>
        <w:jc w:val="both"/>
        <w:rPr>
          <w:rFonts w:ascii="Palatino Linotype" w:hAnsi="Palatino Linotype" w:cs="Arial"/>
        </w:rPr>
      </w:pPr>
    </w:p>
    <w:p w:rsidR="00D202A0" w:rsidRDefault="00E17F77" w:rsidP="00D202A0">
      <w:pPr>
        <w:spacing w:before="240" w:after="240" w:line="360" w:lineRule="auto"/>
        <w:contextualSpacing/>
        <w:jc w:val="both"/>
        <w:rPr>
          <w:rFonts w:ascii="Palatino Linotype" w:hAnsi="Palatino Linotype" w:cs="Arial"/>
        </w:rPr>
      </w:pPr>
      <w:r>
        <w:rPr>
          <w:noProof/>
          <w:lang w:val="es-MX" w:eastAsia="es-MX"/>
        </w:rPr>
        <w:drawing>
          <wp:anchor distT="0" distB="0" distL="114300" distR="114300" simplePos="0" relativeHeight="251663360" behindDoc="1" locked="0" layoutInCell="1" allowOverlap="1" wp14:anchorId="63E0B60A" wp14:editId="3EB49272">
            <wp:simplePos x="0" y="0"/>
            <wp:positionH relativeFrom="column">
              <wp:posOffset>52705</wp:posOffset>
            </wp:positionH>
            <wp:positionV relativeFrom="paragraph">
              <wp:posOffset>84374</wp:posOffset>
            </wp:positionV>
            <wp:extent cx="5685790" cy="204089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stretch>
                      <a:fillRect/>
                    </a:stretch>
                  </pic:blipFill>
                  <pic:spPr>
                    <a:xfrm>
                      <a:off x="0" y="0"/>
                      <a:ext cx="5685790" cy="2040890"/>
                    </a:xfrm>
                    <a:prstGeom prst="rect">
                      <a:avLst/>
                    </a:prstGeom>
                  </pic:spPr>
                </pic:pic>
              </a:graphicData>
            </a:graphic>
            <wp14:sizeRelH relativeFrom="margin">
              <wp14:pctWidth>0</wp14:pctWidth>
            </wp14:sizeRelH>
            <wp14:sizeRelV relativeFrom="margin">
              <wp14:pctHeight>0</wp14:pctHeight>
            </wp14:sizeRelV>
          </wp:anchor>
        </w:drawing>
      </w: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E17F77" w:rsidP="00D202A0">
      <w:pPr>
        <w:spacing w:before="240" w:after="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w:drawing>
          <wp:anchor distT="0" distB="0" distL="114300" distR="114300" simplePos="0" relativeHeight="251664384" behindDoc="1" locked="0" layoutInCell="1" allowOverlap="1" wp14:anchorId="30630013" wp14:editId="61069884">
            <wp:simplePos x="0" y="0"/>
            <wp:positionH relativeFrom="margin">
              <wp:posOffset>319593</wp:posOffset>
            </wp:positionH>
            <wp:positionV relativeFrom="paragraph">
              <wp:posOffset>56397</wp:posOffset>
            </wp:positionV>
            <wp:extent cx="5414010" cy="2884868"/>
            <wp:effectExtent l="19050" t="19050" r="15240" b="1079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4010" cy="2884868"/>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w:lastRenderedPageBreak/>
        <w:drawing>
          <wp:anchor distT="0" distB="0" distL="114300" distR="114300" simplePos="0" relativeHeight="251665408" behindDoc="1" locked="0" layoutInCell="1" allowOverlap="1" wp14:anchorId="5515E1F5" wp14:editId="438A6452">
            <wp:simplePos x="0" y="0"/>
            <wp:positionH relativeFrom="page">
              <wp:posOffset>1231533</wp:posOffset>
            </wp:positionH>
            <wp:positionV relativeFrom="paragraph">
              <wp:posOffset>-148524</wp:posOffset>
            </wp:positionV>
            <wp:extent cx="5412969" cy="1199820"/>
            <wp:effectExtent l="19050" t="19050" r="16510" b="196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rotWithShape="1">
                    <a:blip r:embed="rId15">
                      <a:extLst>
                        <a:ext uri="{28A0092B-C50C-407E-A947-70E740481C1C}">
                          <a14:useLocalDpi xmlns:a14="http://schemas.microsoft.com/office/drawing/2010/main" val="0"/>
                        </a:ext>
                      </a:extLst>
                    </a:blip>
                    <a:srcRect t="10615" b="54358"/>
                    <a:stretch/>
                  </pic:blipFill>
                  <pic:spPr bwMode="auto">
                    <a:xfrm>
                      <a:off x="0" y="0"/>
                      <a:ext cx="5427324" cy="1203002"/>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En virtud de lo anterior, se acredita que el </w:t>
      </w:r>
      <w:r>
        <w:rPr>
          <w:rFonts w:ascii="Palatino Linotype" w:hAnsi="Palatino Linotype" w:cs="Arial"/>
          <w:b/>
        </w:rPr>
        <w:t>Sujeto Obligado</w:t>
      </w:r>
      <w:r>
        <w:rPr>
          <w:rFonts w:ascii="Palatino Linotype" w:hAnsi="Palatino Linotype" w:cs="Arial"/>
        </w:rPr>
        <w:t xml:space="preserve">, debió generar, administrar o poseer la nómina de todos sus trabajadores del mes de marzo del 2018; máxime que debió entregar los informes mensuales al Órgano Superior de Fiscalización del Estado de México de conformidad con el artículo 32 de la Ley de Fiscalización Superior del Estado de México y 350 del Código Financiero del Estado de México, respecto de la </w:t>
      </w:r>
      <w:r w:rsidRPr="003B3CED">
        <w:rPr>
          <w:rFonts w:ascii="Palatino Linotype" w:hAnsi="Palatino Linotype" w:cs="Arial"/>
        </w:rPr>
        <w:t>nómina</w:t>
      </w:r>
      <w:r>
        <w:rPr>
          <w:rFonts w:ascii="Palatino Linotype" w:hAnsi="Palatino Linotype" w:cs="Arial"/>
        </w:rPr>
        <w:t>, en consecuencia,</w:t>
      </w:r>
      <w:r w:rsidR="00E17F77">
        <w:rPr>
          <w:rFonts w:ascii="Palatino Linotype" w:hAnsi="Palatino Linotype" w:cs="Arial"/>
        </w:rPr>
        <w:t xml:space="preserve"> se consolida </w:t>
      </w:r>
      <w:r>
        <w:rPr>
          <w:rFonts w:ascii="Palatino Linotype" w:hAnsi="Palatino Linotype" w:cs="Arial"/>
        </w:rPr>
        <w:t xml:space="preserve">la información </w:t>
      </w:r>
      <w:r w:rsidR="00140C66">
        <w:rPr>
          <w:rFonts w:ascii="Palatino Linotype" w:hAnsi="Palatino Linotype" w:cs="Arial"/>
        </w:rPr>
        <w:t>proporcionada por</w:t>
      </w:r>
      <w:r>
        <w:rPr>
          <w:rFonts w:ascii="Palatino Linotype" w:hAnsi="Palatino Linotype" w:cs="Arial"/>
        </w:rPr>
        <w:t xml:space="preserve"> </w:t>
      </w:r>
      <w:r>
        <w:rPr>
          <w:rFonts w:ascii="Palatino Linotype" w:hAnsi="Palatino Linotype" w:cs="Arial"/>
          <w:b/>
        </w:rPr>
        <w:t>Sujeto Obligado</w:t>
      </w:r>
      <w:r w:rsidR="00140C66">
        <w:rPr>
          <w:rFonts w:ascii="Palatino Linotype" w:hAnsi="Palatino Linotype" w:cs="Arial"/>
        </w:rPr>
        <w:t xml:space="preserve"> en informe justificado en cuanto a éste tema.</w:t>
      </w:r>
    </w:p>
    <w:p w:rsidR="00D202A0" w:rsidRDefault="00D202A0" w:rsidP="00D202A0">
      <w:pPr>
        <w:autoSpaceDE w:val="0"/>
        <w:autoSpaceDN w:val="0"/>
        <w:adjustRightInd w:val="0"/>
        <w:spacing w:line="360" w:lineRule="auto"/>
        <w:jc w:val="both"/>
        <w:rPr>
          <w:rFonts w:ascii="Palatino Linotype" w:hAnsi="Palatino Linotype" w:cs="Arial"/>
          <w:color w:val="000000"/>
        </w:rPr>
      </w:pPr>
    </w:p>
    <w:p w:rsidR="00D202A0" w:rsidRDefault="00D202A0" w:rsidP="00D202A0">
      <w:pPr>
        <w:autoSpaceDE w:val="0"/>
        <w:autoSpaceDN w:val="0"/>
        <w:adjustRightInd w:val="0"/>
        <w:spacing w:line="360" w:lineRule="auto"/>
        <w:jc w:val="both"/>
        <w:rPr>
          <w:rFonts w:ascii="Palatino Linotype" w:hAnsi="Palatino Linotype" w:cs="Arial"/>
        </w:rPr>
      </w:pPr>
      <w:r>
        <w:rPr>
          <w:rFonts w:ascii="Palatino Linotype" w:hAnsi="Palatino Linotype" w:cs="Arial"/>
          <w:color w:val="000000"/>
        </w:rPr>
        <w:t xml:space="preserve">Respecto de la </w:t>
      </w:r>
      <w:r w:rsidRPr="005A710F">
        <w:rPr>
          <w:rFonts w:ascii="Palatino Linotype" w:hAnsi="Palatino Linotype" w:cs="Arial"/>
        </w:rPr>
        <w:t xml:space="preserve">“lista de raya” </w:t>
      </w:r>
      <w:r>
        <w:rPr>
          <w:rFonts w:ascii="Palatino Linotype" w:hAnsi="Palatino Linotype" w:cs="Arial"/>
        </w:rPr>
        <w:t>la cual ya fue definido e</w:t>
      </w:r>
      <w:r w:rsidR="00140C66">
        <w:rPr>
          <w:rFonts w:ascii="Palatino Linotype" w:hAnsi="Palatino Linotype" w:cs="Arial"/>
        </w:rPr>
        <w:t>n la página 16 del presente</w:t>
      </w:r>
      <w:r>
        <w:rPr>
          <w:rFonts w:ascii="Palatino Linotype" w:hAnsi="Palatino Linotype" w:cs="Arial"/>
        </w:rPr>
        <w:t xml:space="preserve"> fallo, se concreta </w:t>
      </w:r>
      <w:r w:rsidRPr="005A710F">
        <w:rPr>
          <w:rFonts w:ascii="Palatino Linotype" w:hAnsi="Palatino Linotype" w:cs="Arial"/>
        </w:rPr>
        <w:t xml:space="preserve">que la lista de raya consiste en registros conformados por el conjunto de trabajadores a los cuales se les va a remunerar por los </w:t>
      </w:r>
      <w:hyperlink r:id="rId16" w:history="1">
        <w:r w:rsidRPr="005A710F">
          <w:t>servicios</w:t>
        </w:r>
      </w:hyperlink>
      <w:r w:rsidRPr="005A710F">
        <w:rPr>
          <w:rFonts w:ascii="Palatino Linotype" w:hAnsi="Palatino Linotype" w:cs="Arial"/>
        </w:rPr>
        <w:t xml:space="preserve"> que éstos le prestan al patrón, en el cual se asientan las percepciones brutas, deducciones y el neto a recibi</w:t>
      </w:r>
      <w:r>
        <w:rPr>
          <w:rFonts w:ascii="Palatino Linotype" w:hAnsi="Palatino Linotype" w:cs="Arial"/>
        </w:rPr>
        <w:t>r de dichos trabajadores, con el único</w:t>
      </w:r>
      <w:r w:rsidRPr="005A710F">
        <w:rPr>
          <w:rFonts w:ascii="Palatino Linotype" w:hAnsi="Palatino Linotype" w:cs="Arial"/>
        </w:rPr>
        <w:t xml:space="preserve"> detalle de que la lista de raya refiere únicament</w:t>
      </w:r>
      <w:r>
        <w:rPr>
          <w:rFonts w:ascii="Palatino Linotype" w:hAnsi="Palatino Linotype" w:cs="Arial"/>
        </w:rPr>
        <w:t>e a los trabajadores temporales.</w:t>
      </w:r>
    </w:p>
    <w:p w:rsidR="00D202A0" w:rsidRDefault="00D202A0" w:rsidP="00D202A0">
      <w:pPr>
        <w:spacing w:before="240" w:after="240" w:line="360" w:lineRule="auto"/>
        <w:contextualSpacing/>
        <w:jc w:val="both"/>
        <w:rPr>
          <w:rFonts w:ascii="Palatino Linotype" w:hAnsi="Palatino Linotype" w:cs="Arial"/>
        </w:rPr>
      </w:pPr>
    </w:p>
    <w:p w:rsidR="00D202A0" w:rsidRDefault="00D202A0" w:rsidP="00D202A0">
      <w:pPr>
        <w:autoSpaceDE w:val="0"/>
        <w:autoSpaceDN w:val="0"/>
        <w:adjustRightInd w:val="0"/>
        <w:spacing w:before="240" w:after="240" w:line="360" w:lineRule="auto"/>
        <w:contextualSpacing/>
        <w:jc w:val="both"/>
        <w:rPr>
          <w:rFonts w:ascii="Palatino Linotype" w:eastAsiaTheme="minorHAnsi" w:hAnsi="Palatino Linotype" w:cs="Bookman Old Style"/>
          <w:lang w:val="es-MX" w:eastAsia="en-US"/>
        </w:rPr>
      </w:pPr>
      <w:r>
        <w:rPr>
          <w:rFonts w:ascii="Palatino Linotype" w:hAnsi="Palatino Linotype" w:cs="Arial"/>
        </w:rPr>
        <w:t>No pasa desapercibido para éste dictaminador</w:t>
      </w:r>
      <w:r w:rsidRPr="009D60D2">
        <w:rPr>
          <w:rFonts w:ascii="Palatino Linotype" w:hAnsi="Palatino Linotype" w:cs="Arial"/>
        </w:rPr>
        <w:t>, que el particular solicitó la nómina, por un lado sin excedentes o compensaciones y por el otro pidiendo que se incluyan todos los conceptos que forman parte del sobresueldo, compensaciones</w:t>
      </w:r>
      <w:r>
        <w:rPr>
          <w:rFonts w:ascii="Palatino Linotype" w:hAnsi="Palatino Linotype" w:cs="Arial"/>
        </w:rPr>
        <w:t>, horas</w:t>
      </w:r>
      <w:r>
        <w:rPr>
          <w:rFonts w:ascii="Palatino Linotype" w:hAnsi="Palatino Linotype" w:cs="Arial"/>
          <w:lang w:eastAsia="es-MX"/>
        </w:rPr>
        <w:t xml:space="preserve"> extras, comisiones, apoyos escolares, vales, apoyos en general, excedentes y similares, por lo que vale la pena hacer alusión a lo dispuesto en el artículo 12 de la </w:t>
      </w:r>
      <w:r>
        <w:rPr>
          <w:rFonts w:ascii="Palatino Linotype" w:hAnsi="Palatino Linotype" w:cs="Arial"/>
          <w:lang w:eastAsia="es-MX"/>
        </w:rPr>
        <w:lastRenderedPageBreak/>
        <w:t>Ley de la Materia, en el que se dispone que los</w:t>
      </w:r>
      <w:r>
        <w:rPr>
          <w:rFonts w:ascii="Palatino Linotype" w:eastAsiaTheme="minorHAnsi" w:hAnsi="Palatino Linotype" w:cs="Bookman Old Style"/>
          <w:lang w:val="es-MX" w:eastAsia="en-US"/>
        </w:rPr>
        <w:t xml:space="preserve"> sujetos obligados sólo proporcionarán la información pública que se les requiera y que obre en sus archivos y </w:t>
      </w:r>
      <w:r>
        <w:rPr>
          <w:rFonts w:ascii="Palatino Linotype" w:eastAsiaTheme="minorHAnsi" w:hAnsi="Palatino Linotype" w:cs="Bookman Old Style"/>
          <w:b/>
          <w:lang w:val="es-MX" w:eastAsia="en-US"/>
        </w:rPr>
        <w:t>en el estado en que ésta se encuentre</w:t>
      </w:r>
      <w:r>
        <w:rPr>
          <w:rFonts w:ascii="Palatino Linotype" w:eastAsiaTheme="minorHAnsi" w:hAnsi="Palatino Linotype" w:cs="Bookman Old Style"/>
          <w:lang w:val="es-MX" w:eastAsia="en-US"/>
        </w:rPr>
        <w:t>.</w:t>
      </w:r>
      <w:r>
        <w:rPr>
          <w:rFonts w:ascii="Palatino Linotype" w:hAnsi="Palatino Linotype" w:cs="Arial"/>
          <w:color w:val="222222"/>
          <w:lang w:eastAsia="es-MX"/>
        </w:rPr>
        <w:t xml:space="preserve"> </w:t>
      </w:r>
      <w:r>
        <w:rPr>
          <w:rFonts w:ascii="Palatino Linotype" w:eastAsiaTheme="minorHAnsi" w:hAnsi="Palatino Linotype" w:cs="Bookman Old Style"/>
          <w:lang w:val="es-MX" w:eastAsia="en-US"/>
        </w:rPr>
        <w:t>La obligación de proporcionar información no comprende el procesamiento de la misma, ni el presentarla conforme al interés del solicitante.</w:t>
      </w:r>
    </w:p>
    <w:p w:rsidR="00140C66" w:rsidRDefault="00140C66" w:rsidP="00D202A0">
      <w:pPr>
        <w:autoSpaceDE w:val="0"/>
        <w:autoSpaceDN w:val="0"/>
        <w:adjustRightInd w:val="0"/>
        <w:spacing w:before="240" w:after="240" w:line="360" w:lineRule="auto"/>
        <w:contextualSpacing/>
        <w:jc w:val="both"/>
        <w:rPr>
          <w:rFonts w:ascii="Palatino Linotype" w:eastAsiaTheme="minorHAnsi" w:hAnsi="Palatino Linotype" w:cs="Bookman Old Style"/>
          <w:lang w:val="es-MX" w:eastAsia="en-US"/>
        </w:rPr>
      </w:pPr>
    </w:p>
    <w:p w:rsidR="00D202A0" w:rsidRDefault="00D202A0" w:rsidP="00D202A0">
      <w:pPr>
        <w:shd w:val="clear" w:color="auto" w:fill="FFFFFF"/>
        <w:spacing w:before="240" w:after="240" w:line="360" w:lineRule="auto"/>
        <w:contextualSpacing/>
        <w:jc w:val="both"/>
        <w:rPr>
          <w:rFonts w:ascii="Palatino Linotype" w:hAnsi="Palatino Linotype" w:cs="Arial"/>
          <w:szCs w:val="19"/>
          <w:lang w:eastAsia="es-MX"/>
        </w:rPr>
      </w:pPr>
      <w:r>
        <w:rPr>
          <w:rFonts w:ascii="Palatino Linotype" w:eastAsiaTheme="minorHAnsi" w:hAnsi="Palatino Linotype" w:cs="Bookman Old Style"/>
          <w:lang w:val="es-MX" w:eastAsia="en-US"/>
        </w:rPr>
        <w:t xml:space="preserve">Razón por la cual, los Sujeto Obligado no están constreñidos a generar, resumir, efectuar cálculos o practicar investigaciones con motivo de las solicitudes de acceso a la información, su obligación se limita a entregar la información que se encuentra en sus archivos al ser </w:t>
      </w:r>
      <w:r>
        <w:rPr>
          <w:rFonts w:ascii="Palatino Linotype" w:hAnsi="Palatino Linotype" w:cs="Arial"/>
          <w:szCs w:val="19"/>
          <w:lang w:eastAsia="es-MX"/>
        </w:rPr>
        <w:t>un derecho de acceso a documentos; es decir, no están obligados a generar un documento ad hoc.</w:t>
      </w:r>
    </w:p>
    <w:p w:rsidR="003600C7" w:rsidRDefault="003600C7" w:rsidP="00F73DAD">
      <w:pPr>
        <w:tabs>
          <w:tab w:val="left" w:pos="709"/>
        </w:tabs>
        <w:spacing w:line="360" w:lineRule="auto"/>
        <w:jc w:val="both"/>
        <w:rPr>
          <w:rFonts w:ascii="Palatino Linotype" w:hAnsi="Palatino Linotype" w:cs="Arial"/>
        </w:rPr>
      </w:pPr>
    </w:p>
    <w:p w:rsidR="00D202A0" w:rsidRPr="00CD625F" w:rsidRDefault="00D202A0" w:rsidP="00D202A0">
      <w:pPr>
        <w:spacing w:before="240" w:after="240" w:line="360" w:lineRule="auto"/>
        <w:ind w:right="51"/>
        <w:contextualSpacing/>
        <w:jc w:val="both"/>
        <w:rPr>
          <w:rFonts w:ascii="Palatino Linotype" w:hAnsi="Palatino Linotype" w:cs="Arial"/>
        </w:rPr>
      </w:pPr>
      <w:r w:rsidRPr="00B135B8">
        <w:rPr>
          <w:rFonts w:ascii="Palatino Linotype" w:hAnsi="Palatino Linotype" w:cs="Arial"/>
          <w:lang w:eastAsia="es-MX"/>
        </w:rPr>
        <w:t xml:space="preserve">En resumen la nómina, reporte de remuneraciones y lista de raya es información que el Ayuntamiento de </w:t>
      </w:r>
      <w:r w:rsidR="00140C66">
        <w:rPr>
          <w:rFonts w:ascii="Palatino Linotype" w:hAnsi="Palatino Linotype" w:cs="Arial"/>
          <w:lang w:eastAsia="es-MX"/>
        </w:rPr>
        <w:t>Naucalpan de Juárez</w:t>
      </w:r>
      <w:r>
        <w:rPr>
          <w:rFonts w:ascii="Palatino Linotype" w:hAnsi="Palatino Linotype" w:cs="Arial"/>
          <w:lang w:eastAsia="es-MX"/>
        </w:rPr>
        <w:t xml:space="preserve"> debió haber</w:t>
      </w:r>
      <w:r w:rsidRPr="00B135B8">
        <w:rPr>
          <w:rFonts w:ascii="Palatino Linotype" w:hAnsi="Palatino Linotype" w:cs="Arial"/>
          <w:b/>
          <w:lang w:eastAsia="es-MX"/>
        </w:rPr>
        <w:t xml:space="preserve"> </w:t>
      </w:r>
      <w:r>
        <w:rPr>
          <w:rFonts w:ascii="Palatino Linotype" w:hAnsi="Palatino Linotype" w:cs="Arial"/>
          <w:lang w:eastAsia="es-MX"/>
        </w:rPr>
        <w:t>generado, administrado o poseído</w:t>
      </w:r>
      <w:r w:rsidRPr="00B135B8">
        <w:rPr>
          <w:rFonts w:ascii="Palatino Linotype" w:hAnsi="Palatino Linotype" w:cs="Arial"/>
          <w:lang w:eastAsia="es-MX"/>
        </w:rPr>
        <w:t xml:space="preserve">, de acuerdo a lo establecido en el presente considerando; </w:t>
      </w:r>
      <w:r w:rsidRPr="00B135B8">
        <w:rPr>
          <w:rFonts w:ascii="Palatino Linotype" w:hAnsi="Palatino Linotype" w:cs="Arial"/>
        </w:rPr>
        <w:t>por lo q</w:t>
      </w:r>
      <w:r>
        <w:rPr>
          <w:rFonts w:ascii="Palatino Linotype" w:hAnsi="Palatino Linotype" w:cs="Arial"/>
        </w:rPr>
        <w:t xml:space="preserve">ue resulta procedente ordenar al Sujeto Obligado su entrega al mayor grado de desagregación posible salvaguardando los datos personales que contenga, de conformidad con el considerando quinto. Sin soslayar, que para el caso de que no obre en los archivos del </w:t>
      </w:r>
      <w:r>
        <w:rPr>
          <w:rFonts w:ascii="Palatino Linotype" w:hAnsi="Palatino Linotype" w:cs="Arial"/>
          <w:b/>
          <w:lang w:eastAsia="es-MX"/>
        </w:rPr>
        <w:t xml:space="preserve">Sujeto Obligado </w:t>
      </w:r>
      <w:r w:rsidRPr="00CD625F">
        <w:rPr>
          <w:rFonts w:ascii="Palatino Linotype" w:hAnsi="Palatino Linotype" w:cs="Arial"/>
        </w:rPr>
        <w:t xml:space="preserve">información relativa a la lista de raya en el periodo solicitado, bastará con el sólo pronunciamiento de éste para tener por colmado el requerimiento de información por tratarse de trabajadores temporales que no está obligado a contratar, esto en términos de los artículos 3 fracciones XI, XII 4, 12 y 24 último párrafo de la Ley de Transparencia y Acceso a la Información Pública del Estado de México y Municipios, </w:t>
      </w:r>
      <w:r>
        <w:rPr>
          <w:rFonts w:ascii="Palatino Linotype" w:hAnsi="Palatino Linotype" w:cs="Arial"/>
        </w:rPr>
        <w:t>los que ya fueron expuestos al inicio del presente considerando.</w:t>
      </w:r>
    </w:p>
    <w:p w:rsidR="00D202A0" w:rsidRDefault="00D202A0" w:rsidP="00D202A0">
      <w:pPr>
        <w:spacing w:before="240" w:after="240" w:line="360" w:lineRule="auto"/>
        <w:contextualSpacing/>
        <w:jc w:val="both"/>
        <w:rPr>
          <w:rFonts w:ascii="Palatino Linotype" w:hAnsi="Palatino Linotype" w:cs="Arial"/>
        </w:rPr>
      </w:pPr>
      <w:r>
        <w:rPr>
          <w:rFonts w:ascii="Palatino Linotype" w:hAnsi="Palatino Linotype" w:cs="Arial"/>
        </w:rPr>
        <w:lastRenderedPageBreak/>
        <w:t xml:space="preserve">En relación a que el particular solicitó información </w:t>
      </w:r>
      <w:r w:rsidRPr="00087B6F">
        <w:rPr>
          <w:rFonts w:ascii="Palatino Linotype" w:hAnsi="Palatino Linotype" w:cs="Arial"/>
        </w:rPr>
        <w:t xml:space="preserve">referente al policía, </w:t>
      </w:r>
      <w:r>
        <w:rPr>
          <w:rFonts w:ascii="Palatino Linotype" w:hAnsi="Palatino Linotype" w:cs="Arial"/>
        </w:rPr>
        <w:t>se procede a determinar q</w:t>
      </w:r>
      <w:r w:rsidR="007864AD">
        <w:rPr>
          <w:rFonts w:ascii="Palatino Linotype" w:hAnsi="Palatino Linotype" w:cs="Arial"/>
        </w:rPr>
        <w:t>ue en atención a los artículos 4</w:t>
      </w:r>
      <w:r>
        <w:rPr>
          <w:rFonts w:ascii="Palatino Linotype" w:hAnsi="Palatino Linotype" w:cs="Arial"/>
        </w:rPr>
        <w:t>,</w:t>
      </w:r>
      <w:r w:rsidR="007864AD">
        <w:rPr>
          <w:rFonts w:ascii="Palatino Linotype" w:hAnsi="Palatino Linotype" w:cs="Arial"/>
        </w:rPr>
        <w:t xml:space="preserve"> inciso a, </w:t>
      </w:r>
      <w:r w:rsidR="005A0AAC">
        <w:rPr>
          <w:rFonts w:ascii="Palatino Linotype" w:hAnsi="Palatino Linotype" w:cs="Arial"/>
        </w:rPr>
        <w:t xml:space="preserve">38, </w:t>
      </w:r>
      <w:r w:rsidR="007864AD">
        <w:rPr>
          <w:rFonts w:ascii="Palatino Linotype" w:hAnsi="Palatino Linotype" w:cs="Arial"/>
        </w:rPr>
        <w:t>fracción VI, inciso g y 86; del Bando Municipal 2018 del Sujeto Obligado, los que señalan a la letra lo siguiente:</w:t>
      </w:r>
    </w:p>
    <w:p w:rsidR="007864AD" w:rsidRDefault="007864AD" w:rsidP="00D202A0">
      <w:pPr>
        <w:spacing w:before="240" w:after="240" w:line="360" w:lineRule="auto"/>
        <w:contextualSpacing/>
        <w:jc w:val="both"/>
        <w:rPr>
          <w:rFonts w:ascii="Palatino Linotype" w:hAnsi="Palatino Linotype" w:cs="Arial"/>
        </w:rPr>
      </w:pPr>
    </w:p>
    <w:p w:rsidR="007864AD" w:rsidRPr="007864AD" w:rsidRDefault="007864AD" w:rsidP="00D202A0">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w:t>
      </w:r>
      <w:r w:rsidRPr="005A0AAC">
        <w:rPr>
          <w:rFonts w:ascii="Palatino Linotype" w:hAnsi="Palatino Linotype"/>
          <w:b/>
          <w:i/>
          <w:sz w:val="22"/>
          <w:szCs w:val="22"/>
        </w:rPr>
        <w:t>Artículo 4.</w:t>
      </w:r>
      <w:r w:rsidRPr="007864AD">
        <w:rPr>
          <w:rFonts w:ascii="Palatino Linotype" w:hAnsi="Palatino Linotype"/>
          <w:i/>
          <w:sz w:val="22"/>
          <w:szCs w:val="22"/>
        </w:rPr>
        <w:t xml:space="preserve"> Son fines del Ayuntamiento: </w:t>
      </w:r>
    </w:p>
    <w:p w:rsidR="007864AD" w:rsidRPr="007864AD" w:rsidRDefault="007864AD" w:rsidP="00D202A0">
      <w:pPr>
        <w:spacing w:before="240" w:after="240"/>
        <w:ind w:left="567" w:right="616"/>
        <w:contextualSpacing/>
        <w:jc w:val="both"/>
        <w:rPr>
          <w:rFonts w:ascii="Palatino Linotype" w:hAnsi="Palatino Linotype"/>
          <w:i/>
          <w:sz w:val="22"/>
          <w:szCs w:val="22"/>
        </w:rPr>
      </w:pPr>
      <w:r w:rsidRPr="005A0AAC">
        <w:rPr>
          <w:rFonts w:ascii="Palatino Linotype" w:hAnsi="Palatino Linotype"/>
          <w:b/>
          <w:i/>
          <w:sz w:val="22"/>
          <w:szCs w:val="22"/>
        </w:rPr>
        <w:t>a)</w:t>
      </w:r>
      <w:r w:rsidRPr="007864AD">
        <w:rPr>
          <w:rFonts w:ascii="Palatino Linotype" w:hAnsi="Palatino Linotype"/>
          <w:i/>
          <w:sz w:val="22"/>
          <w:szCs w:val="22"/>
        </w:rPr>
        <w:t xml:space="preserve"> Garantizar la seguridad de las mujeres y los hombres, así como de sus bienes;</w:t>
      </w:r>
    </w:p>
    <w:p w:rsidR="007864AD" w:rsidRPr="007864AD" w:rsidRDefault="007864AD" w:rsidP="00D202A0">
      <w:pPr>
        <w:spacing w:before="240" w:after="240"/>
        <w:ind w:left="567" w:right="616"/>
        <w:contextualSpacing/>
        <w:jc w:val="both"/>
        <w:rPr>
          <w:rFonts w:ascii="Palatino Linotype" w:hAnsi="Palatino Linotype"/>
          <w:i/>
          <w:sz w:val="22"/>
          <w:szCs w:val="22"/>
        </w:rPr>
      </w:pPr>
      <w:r w:rsidRPr="007864AD">
        <w:rPr>
          <w:rFonts w:ascii="Palatino Linotype" w:hAnsi="Palatino Linotype"/>
          <w:i/>
          <w:sz w:val="22"/>
          <w:szCs w:val="22"/>
        </w:rPr>
        <w:t>…</w:t>
      </w:r>
    </w:p>
    <w:p w:rsidR="007864AD" w:rsidRDefault="007864AD" w:rsidP="00D202A0">
      <w:pPr>
        <w:spacing w:before="240" w:after="240"/>
        <w:ind w:left="567" w:right="616"/>
        <w:contextualSpacing/>
        <w:jc w:val="both"/>
        <w:rPr>
          <w:rFonts w:ascii="Palatino Linotype" w:hAnsi="Palatino Linotype"/>
          <w:i/>
          <w:sz w:val="22"/>
          <w:szCs w:val="22"/>
        </w:rPr>
      </w:pPr>
      <w:r w:rsidRPr="005A0AAC">
        <w:rPr>
          <w:rFonts w:ascii="Palatino Linotype" w:hAnsi="Palatino Linotype"/>
          <w:b/>
          <w:i/>
          <w:sz w:val="22"/>
          <w:szCs w:val="22"/>
        </w:rPr>
        <w:t>Artículo 38.</w:t>
      </w:r>
      <w:r w:rsidRPr="007864AD">
        <w:rPr>
          <w:rFonts w:ascii="Palatino Linotype" w:hAnsi="Palatino Linotype"/>
          <w:i/>
          <w:sz w:val="22"/>
          <w:szCs w:val="22"/>
        </w:rPr>
        <w:t xml:space="preserve"> La Administración Pública Centralizada, es una de las formas de organización de la Administración Pública del Municipio de Naucalpan de Juárez, Estado de México, cuyos órganos integrantes dependen del Ayuntamiento y están subordinados jerárquicamente al Presidente Municipal.</w:t>
      </w:r>
    </w:p>
    <w:p w:rsidR="005A0AAC" w:rsidRPr="005A0AAC" w:rsidRDefault="005A0AAC" w:rsidP="00D202A0">
      <w:pPr>
        <w:spacing w:before="240" w:after="240"/>
        <w:ind w:left="567" w:right="616"/>
        <w:contextualSpacing/>
        <w:jc w:val="both"/>
        <w:rPr>
          <w:rFonts w:ascii="Palatino Linotype" w:hAnsi="Palatino Linotype"/>
          <w:i/>
          <w:sz w:val="22"/>
          <w:szCs w:val="22"/>
        </w:rPr>
      </w:pPr>
      <w:r w:rsidRPr="005A0AAC">
        <w:rPr>
          <w:rFonts w:ascii="Palatino Linotype" w:hAnsi="Palatino Linotype"/>
          <w:i/>
          <w:sz w:val="22"/>
          <w:szCs w:val="22"/>
        </w:rPr>
        <w:t>La Administración Pública Centralizada se integra por:</w:t>
      </w:r>
    </w:p>
    <w:p w:rsidR="005A0AAC" w:rsidRDefault="005A0AAC" w:rsidP="00D202A0">
      <w:pPr>
        <w:spacing w:before="240" w:after="240"/>
        <w:ind w:left="567" w:right="616"/>
        <w:contextualSpacing/>
        <w:jc w:val="both"/>
        <w:rPr>
          <w:rFonts w:ascii="Palatino Linotype" w:hAnsi="Palatino Linotype"/>
          <w:i/>
          <w:sz w:val="22"/>
          <w:szCs w:val="22"/>
        </w:rPr>
      </w:pPr>
      <w:r w:rsidRPr="005A0AAC">
        <w:rPr>
          <w:rFonts w:ascii="Palatino Linotype" w:hAnsi="Palatino Linotype"/>
          <w:i/>
          <w:sz w:val="22"/>
          <w:szCs w:val="22"/>
        </w:rPr>
        <w:t>…</w:t>
      </w:r>
    </w:p>
    <w:p w:rsidR="005A0AAC" w:rsidRPr="005A0AAC" w:rsidRDefault="005A0AAC" w:rsidP="00D202A0">
      <w:pPr>
        <w:spacing w:before="240" w:after="240"/>
        <w:ind w:left="567" w:right="616"/>
        <w:contextualSpacing/>
        <w:jc w:val="both"/>
        <w:rPr>
          <w:rFonts w:ascii="Palatino Linotype" w:hAnsi="Palatino Linotype"/>
          <w:i/>
          <w:sz w:val="22"/>
          <w:szCs w:val="22"/>
        </w:rPr>
      </w:pPr>
      <w:r w:rsidRPr="005A0AAC">
        <w:rPr>
          <w:rFonts w:ascii="Palatino Linotype" w:hAnsi="Palatino Linotype"/>
          <w:b/>
          <w:i/>
          <w:sz w:val="22"/>
          <w:szCs w:val="22"/>
        </w:rPr>
        <w:t>VI.</w:t>
      </w:r>
      <w:r w:rsidRPr="005A0AAC">
        <w:rPr>
          <w:rFonts w:ascii="Palatino Linotype" w:hAnsi="Palatino Linotype"/>
          <w:i/>
          <w:sz w:val="22"/>
          <w:szCs w:val="22"/>
        </w:rPr>
        <w:t xml:space="preserve"> Direcciones Generales:</w:t>
      </w:r>
    </w:p>
    <w:p w:rsidR="005A0AAC" w:rsidRPr="005A0AAC" w:rsidRDefault="005A0AAC" w:rsidP="00D202A0">
      <w:pPr>
        <w:spacing w:before="240" w:after="240"/>
        <w:ind w:left="567" w:right="616"/>
        <w:contextualSpacing/>
        <w:jc w:val="both"/>
        <w:rPr>
          <w:rFonts w:ascii="Palatino Linotype" w:hAnsi="Palatino Linotype"/>
          <w:i/>
          <w:sz w:val="22"/>
          <w:szCs w:val="22"/>
        </w:rPr>
      </w:pPr>
      <w:r w:rsidRPr="005A0AAC">
        <w:rPr>
          <w:rFonts w:ascii="Palatino Linotype" w:hAnsi="Palatino Linotype"/>
          <w:i/>
          <w:sz w:val="22"/>
          <w:szCs w:val="22"/>
        </w:rPr>
        <w:t>…</w:t>
      </w:r>
    </w:p>
    <w:p w:rsidR="005A0AAC" w:rsidRPr="007864AD" w:rsidRDefault="005A0AAC" w:rsidP="00D202A0">
      <w:pPr>
        <w:spacing w:before="240" w:after="240"/>
        <w:ind w:left="567" w:right="616"/>
        <w:contextualSpacing/>
        <w:jc w:val="both"/>
        <w:rPr>
          <w:rFonts w:ascii="Palatino Linotype" w:hAnsi="Palatino Linotype"/>
          <w:i/>
          <w:sz w:val="22"/>
          <w:szCs w:val="22"/>
        </w:rPr>
      </w:pPr>
      <w:r w:rsidRPr="005A0AAC">
        <w:rPr>
          <w:rFonts w:ascii="Palatino Linotype" w:hAnsi="Palatino Linotype"/>
          <w:b/>
          <w:i/>
          <w:sz w:val="22"/>
          <w:szCs w:val="22"/>
        </w:rPr>
        <w:t>g)</w:t>
      </w:r>
      <w:r w:rsidRPr="005A0AAC">
        <w:rPr>
          <w:rFonts w:ascii="Palatino Linotype" w:hAnsi="Palatino Linotype"/>
          <w:i/>
          <w:sz w:val="22"/>
          <w:szCs w:val="22"/>
        </w:rPr>
        <w:t xml:space="preserve"> Dirección General de Seguridad Ciudadana y Tránsito Municipal;</w:t>
      </w:r>
    </w:p>
    <w:p w:rsidR="00D202A0" w:rsidRPr="004B7864" w:rsidRDefault="007864AD" w:rsidP="00D202A0">
      <w:pPr>
        <w:spacing w:before="240" w:after="240"/>
        <w:ind w:left="567" w:right="616"/>
        <w:contextualSpacing/>
        <w:jc w:val="both"/>
        <w:rPr>
          <w:rFonts w:ascii="Palatino Linotype" w:hAnsi="Palatino Linotype"/>
          <w:i/>
          <w:sz w:val="22"/>
          <w:szCs w:val="22"/>
        </w:rPr>
      </w:pPr>
      <w:r w:rsidRPr="005A0AAC">
        <w:rPr>
          <w:rFonts w:ascii="Palatino Linotype" w:hAnsi="Palatino Linotype"/>
          <w:b/>
          <w:i/>
          <w:sz w:val="22"/>
          <w:szCs w:val="22"/>
        </w:rPr>
        <w:t xml:space="preserve">Artículo 86. </w:t>
      </w:r>
      <w:r w:rsidRPr="007864AD">
        <w:rPr>
          <w:rFonts w:ascii="Palatino Linotype" w:hAnsi="Palatino Linotype"/>
          <w:i/>
          <w:sz w:val="22"/>
          <w:szCs w:val="22"/>
        </w:rPr>
        <w:t>Las funciones públicas de tránsito y seguridad pública serán ejercidas por el Ayuntamiento, a través de la Dirección General de Seguridad Ciudadana y Tránsito Municipal. Las autoridades municipales, para el cumplimiento de sus atribuciones en materia de la función pública de tránsito municipal, podrán celebrar convenios de concertación con los sectores social y privado, de conformidad con la normatividad aplicable. De igual forma, para cumplir con las atribuciones que en materia de seguridad pública tiene a su cargo, suscribirá convenios de coordinación y colaboración con el Estado, a fin de establecer el Mando Único Policial para el Estado de México.</w:t>
      </w:r>
      <w:r w:rsidR="00D202A0" w:rsidRPr="004B7864">
        <w:rPr>
          <w:rFonts w:ascii="Palatino Linotype" w:hAnsi="Palatino Linotype"/>
          <w:i/>
          <w:sz w:val="22"/>
          <w:szCs w:val="22"/>
        </w:rPr>
        <w:t>” (Sic)</w:t>
      </w:r>
    </w:p>
    <w:p w:rsidR="00D202A0" w:rsidRDefault="00D202A0" w:rsidP="00D202A0">
      <w:pPr>
        <w:spacing w:before="240" w:after="240" w:line="360" w:lineRule="auto"/>
        <w:contextualSpacing/>
        <w:jc w:val="both"/>
        <w:rPr>
          <w:rFonts w:ascii="Palatino Linotype" w:hAnsi="Palatino Linotype" w:cs="Arial"/>
        </w:rPr>
      </w:pPr>
    </w:p>
    <w:p w:rsidR="00C33D7E" w:rsidRPr="00C33D7E" w:rsidRDefault="00D202A0" w:rsidP="00C33D7E">
      <w:pPr>
        <w:shd w:val="clear" w:color="auto" w:fill="FFFFFF"/>
        <w:spacing w:after="240" w:line="360" w:lineRule="auto"/>
        <w:jc w:val="both"/>
        <w:rPr>
          <w:rFonts w:ascii="Palatino Linotype" w:hAnsi="Palatino Linotype"/>
          <w:lang w:eastAsia="es-MX"/>
        </w:rPr>
      </w:pPr>
      <w:r w:rsidRPr="00EB1669">
        <w:rPr>
          <w:rFonts w:ascii="Palatino Linotype" w:hAnsi="Palatino Linotype" w:cs="Arial"/>
          <w:bCs/>
        </w:rPr>
        <w:t xml:space="preserve">Preceptos legales en donde se advierte que el </w:t>
      </w:r>
      <w:r w:rsidR="005A0AAC">
        <w:rPr>
          <w:rFonts w:ascii="Palatino Linotype" w:hAnsi="Palatino Linotype" w:cs="Arial"/>
          <w:bCs/>
        </w:rPr>
        <w:t>Ayuntamiento de Naucalpan de Juárez</w:t>
      </w:r>
      <w:r>
        <w:rPr>
          <w:rFonts w:ascii="Palatino Linotype" w:hAnsi="Palatino Linotype" w:cs="Arial"/>
          <w:bCs/>
        </w:rPr>
        <w:t xml:space="preserve"> para el desempeño de sus funciones públicas, podrá auxiliarse de</w:t>
      </w:r>
      <w:r w:rsidRPr="00EB1669">
        <w:rPr>
          <w:rFonts w:ascii="Palatino Linotype" w:hAnsi="Palatino Linotype" w:cs="Arial"/>
          <w:bCs/>
        </w:rPr>
        <w:t xml:space="preserve"> la </w:t>
      </w:r>
      <w:r w:rsidR="005A0AAC" w:rsidRPr="005A0AAC">
        <w:rPr>
          <w:rFonts w:ascii="Palatino Linotype" w:hAnsi="Palatino Linotype" w:cs="Arial"/>
          <w:bCs/>
        </w:rPr>
        <w:t>Dirección General de Seguridad Ciudadana y Tránsito Municipal</w:t>
      </w:r>
      <w:r w:rsidRPr="00EB1669">
        <w:rPr>
          <w:rFonts w:ascii="Palatino Linotype" w:hAnsi="Palatino Linotype" w:cs="Arial"/>
          <w:bCs/>
        </w:rPr>
        <w:t xml:space="preserve">, </w:t>
      </w:r>
      <w:r>
        <w:rPr>
          <w:rFonts w:ascii="Palatino Linotype" w:hAnsi="Palatino Linotype" w:cs="Arial"/>
          <w:bCs/>
        </w:rPr>
        <w:t xml:space="preserve">para </w:t>
      </w:r>
      <w:r w:rsidR="005A0AAC">
        <w:rPr>
          <w:rFonts w:ascii="Palatino Linotype" w:hAnsi="Palatino Linotype" w:cs="Arial"/>
          <w:bCs/>
        </w:rPr>
        <w:t>garantizar la seguridad de los hombres y mujeres, así como de sus bienes;</w:t>
      </w:r>
      <w:r w:rsidRPr="00EB1669">
        <w:rPr>
          <w:rFonts w:ascii="Palatino Linotype" w:hAnsi="Palatino Linotype" w:cs="Arial"/>
          <w:bCs/>
        </w:rPr>
        <w:t xml:space="preserve"> con lo que se acredita que el Sujeto Obligado para cumplir con sus fines debe de auxiliarse de personal de Segurid</w:t>
      </w:r>
      <w:r>
        <w:rPr>
          <w:rFonts w:ascii="Palatino Linotype" w:hAnsi="Palatino Linotype" w:cs="Arial"/>
          <w:bCs/>
        </w:rPr>
        <w:t>ad Publica es decir de policías;</w:t>
      </w:r>
      <w:r w:rsidRPr="00EB1669">
        <w:rPr>
          <w:rFonts w:ascii="Palatino Linotype" w:hAnsi="Palatino Linotype" w:cs="Arial"/>
          <w:bCs/>
        </w:rPr>
        <w:t xml:space="preserve"> por consiguiente</w:t>
      </w:r>
      <w:r>
        <w:rPr>
          <w:rFonts w:ascii="Palatino Linotype" w:hAnsi="Palatino Linotype" w:cs="Arial"/>
          <w:bCs/>
        </w:rPr>
        <w:t>,</w:t>
      </w:r>
      <w:r w:rsidRPr="00EB1669">
        <w:rPr>
          <w:rFonts w:ascii="Palatino Linotype" w:hAnsi="Palatino Linotype" w:cs="Arial"/>
          <w:bCs/>
        </w:rPr>
        <w:t xml:space="preserve"> el artículo 91 de la ley de la Materia, dispone que el acceso a la información pública será restringido excepcionalmente, </w:t>
      </w:r>
      <w:r w:rsidRPr="00EB1669">
        <w:rPr>
          <w:rFonts w:ascii="Palatino Linotype" w:hAnsi="Palatino Linotype" w:cs="Arial"/>
          <w:bCs/>
        </w:rPr>
        <w:lastRenderedPageBreak/>
        <w:t xml:space="preserve">cuando ésta sea clasificada como reservada o confidencial; razón por la cual y en atención a la nómina que se ordena puede contener información de la </w:t>
      </w:r>
      <w:r>
        <w:rPr>
          <w:rFonts w:ascii="Palatino Linotype" w:hAnsi="Palatino Linotype" w:cs="Arial"/>
          <w:bCs/>
        </w:rPr>
        <w:t xml:space="preserve">Dirección </w:t>
      </w:r>
      <w:r w:rsidR="005A0AAC">
        <w:rPr>
          <w:rFonts w:ascii="Palatino Linotype" w:hAnsi="Palatino Linotype" w:cs="Arial"/>
          <w:bCs/>
        </w:rPr>
        <w:t xml:space="preserve">General </w:t>
      </w:r>
      <w:r>
        <w:rPr>
          <w:rFonts w:ascii="Palatino Linotype" w:hAnsi="Palatino Linotype" w:cs="Arial"/>
          <w:bCs/>
        </w:rPr>
        <w:t>de Seguridad Ciudadana</w:t>
      </w:r>
      <w:r w:rsidR="005A0AAC">
        <w:rPr>
          <w:rFonts w:ascii="Palatino Linotype" w:hAnsi="Palatino Linotype" w:cs="Arial"/>
          <w:bCs/>
        </w:rPr>
        <w:t xml:space="preserve"> y Transito</w:t>
      </w:r>
      <w:r w:rsidRPr="00EB1669">
        <w:rPr>
          <w:rFonts w:ascii="Palatino Linotype" w:hAnsi="Palatino Linotype" w:cs="Arial"/>
          <w:bCs/>
        </w:rPr>
        <w:t xml:space="preserve"> del Sujeto Obligado, </w:t>
      </w:r>
      <w:r>
        <w:rPr>
          <w:rFonts w:ascii="Palatino Linotype" w:hAnsi="Palatino Linotype" w:cs="Arial"/>
          <w:bCs/>
        </w:rPr>
        <w:t>respecto</w:t>
      </w:r>
      <w:r w:rsidRPr="008F31CE">
        <w:rPr>
          <w:rFonts w:ascii="Palatino Linotype" w:hAnsi="Palatino Linotype" w:cs="Arial"/>
          <w:lang w:val="es-ES_tradnl"/>
        </w:rPr>
        <w:t xml:space="preserve"> de ello se destaca que a criterio de este Instituto la información relativa al nombre de los servidores públicos que ocupan un cargo en las dependencias de gobierno encargadas de la seguridad pública, debe ser obj</w:t>
      </w:r>
      <w:r w:rsidR="00C33D7E">
        <w:rPr>
          <w:rFonts w:ascii="Palatino Linotype" w:hAnsi="Palatino Linotype" w:cs="Arial"/>
          <w:lang w:val="es-ES_tradnl"/>
        </w:rPr>
        <w:t>eto de un proceso de anonimización</w:t>
      </w:r>
      <w:r w:rsidRPr="008F31CE">
        <w:rPr>
          <w:rFonts w:ascii="Palatino Linotype" w:hAnsi="Palatino Linotype" w:cs="Arial"/>
          <w:lang w:val="es-ES_tradnl"/>
        </w:rPr>
        <w:t xml:space="preserve">, </w:t>
      </w:r>
      <w:r w:rsidR="00C33D7E" w:rsidRPr="00C33D7E">
        <w:rPr>
          <w:rFonts w:ascii="Palatino Linotype" w:hAnsi="Palatino Linotype" w:cs="Arial"/>
          <w:lang w:val="es-ES_tradnl"/>
        </w:rPr>
        <w:t xml:space="preserve">por lo tanto, en atención a lo previsto  </w:t>
      </w:r>
      <w:r w:rsidR="00C33D7E" w:rsidRPr="00C33D7E">
        <w:rPr>
          <w:rFonts w:ascii="Palatino Linotype" w:hAnsi="Palatino Linotype"/>
          <w:lang w:eastAsia="es-MX"/>
        </w:rPr>
        <w:t xml:space="preserve">en los artículos 52 de la Ley de Transparencia y Acceso a la Información Pública del Estado de México en relación directa con el 21 y 39 de la Ley de Protección de Datos Personales en Posesión de Sujetos Obligados del Estado de México, que permiten someter la 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los datos personales con su titular, es pertinente que la información que en todo caso se otorgue, sea aplicada la anonimización de ésta. </w:t>
      </w:r>
    </w:p>
    <w:p w:rsidR="00C33D7E" w:rsidRPr="00C33D7E" w:rsidRDefault="00C33D7E" w:rsidP="00C33D7E">
      <w:pPr>
        <w:shd w:val="clear" w:color="auto" w:fill="FFFFFF"/>
        <w:spacing w:after="240" w:line="360" w:lineRule="auto"/>
        <w:jc w:val="both"/>
        <w:rPr>
          <w:rFonts w:ascii="Palatino Linotype" w:hAnsi="Palatino Linotype"/>
          <w:lang w:eastAsia="es-MX"/>
        </w:rPr>
      </w:pPr>
      <w:r w:rsidRPr="00C33D7E">
        <w:rPr>
          <w:rFonts w:ascii="Palatino Linotype" w:hAnsi="Palatino Linotype"/>
          <w:lang w:eastAsia="es-MX"/>
        </w:rPr>
        <w:t>Al respecto, es preciso mencionar que la anonimización es el proceso que permite eliminar todos los vínculos entre un conjunto de datos y el interesado, a fin de evitar la identificación de la o el titular a través de sus datos personales.</w:t>
      </w:r>
    </w:p>
    <w:p w:rsidR="00C33D7E" w:rsidRPr="00C33D7E" w:rsidRDefault="00C33D7E" w:rsidP="00C33D7E">
      <w:pPr>
        <w:shd w:val="clear" w:color="auto" w:fill="FFFFFF"/>
        <w:spacing w:before="240" w:after="240" w:line="360" w:lineRule="auto"/>
        <w:jc w:val="both"/>
        <w:rPr>
          <w:lang w:val="es-MX" w:eastAsia="es-MX"/>
        </w:rPr>
      </w:pPr>
      <w:r w:rsidRPr="00C33D7E">
        <w:rPr>
          <w:rFonts w:ascii="Palatino Linotype" w:hAnsi="Palatino Linotype"/>
          <w:lang w:eastAsia="es-MX"/>
        </w:rPr>
        <w:t xml:space="preserve">Lo anterior con la finalidad de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w:t>
      </w:r>
      <w:r w:rsidRPr="00C33D7E">
        <w:rPr>
          <w:rFonts w:ascii="Palatino Linotype" w:hAnsi="Palatino Linotype"/>
          <w:lang w:eastAsia="es-MX"/>
        </w:rPr>
        <w:lastRenderedPageBreak/>
        <w:t>vez que son responsables de procurar el orden, la estabilidad y la defensa de la sociedad a la que pertenecen.</w:t>
      </w:r>
    </w:p>
    <w:p w:rsidR="00C33D7E" w:rsidRPr="00C33D7E" w:rsidRDefault="00C33D7E" w:rsidP="00C33D7E">
      <w:pPr>
        <w:shd w:val="clear" w:color="auto" w:fill="FFFFFF"/>
        <w:spacing w:before="240" w:after="240" w:line="360" w:lineRule="auto"/>
        <w:jc w:val="both"/>
        <w:rPr>
          <w:lang w:val="es-MX" w:eastAsia="es-MX"/>
        </w:rPr>
      </w:pPr>
      <w:r w:rsidRPr="00C33D7E">
        <w:rPr>
          <w:rFonts w:ascii="Palatino Linotype" w:hAnsi="Palatino Linotype"/>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C33D7E" w:rsidRPr="00C33D7E" w:rsidRDefault="00C33D7E" w:rsidP="00C33D7E">
      <w:pPr>
        <w:shd w:val="clear" w:color="auto" w:fill="FFFFFF"/>
        <w:spacing w:before="240" w:after="360" w:line="360" w:lineRule="auto"/>
        <w:jc w:val="both"/>
        <w:rPr>
          <w:lang w:val="es-MX" w:eastAsia="es-MX"/>
        </w:rPr>
      </w:pPr>
      <w:r w:rsidRPr="00C33D7E">
        <w:rPr>
          <w:rFonts w:ascii="Palatino Linotype" w:hAnsi="Palatino Linotype"/>
          <w:lang w:val="es-MX" w:eastAsia="es-MX"/>
        </w:rPr>
        <w:t>Sirven de sustento a lo anterior las tesis jurisprudenciales emitidas por la Suprema corte de Justicia de la Nación, que son del literal siguiente:</w:t>
      </w:r>
    </w:p>
    <w:p w:rsidR="00C33D7E" w:rsidRPr="00C33D7E" w:rsidRDefault="00C33D7E" w:rsidP="00C33D7E">
      <w:pPr>
        <w:shd w:val="clear" w:color="auto" w:fill="FFFFFF"/>
        <w:ind w:left="851" w:right="902"/>
        <w:jc w:val="both"/>
        <w:rPr>
          <w:sz w:val="22"/>
          <w:szCs w:val="22"/>
          <w:lang w:val="es-MX" w:eastAsia="es-MX"/>
        </w:rPr>
      </w:pPr>
      <w:r w:rsidRPr="00C33D7E">
        <w:rPr>
          <w:rFonts w:ascii="Palatino Linotype" w:hAnsi="Palatino Linotype"/>
          <w:b/>
          <w:bCs/>
          <w:i/>
          <w:iCs/>
          <w:sz w:val="22"/>
          <w:szCs w:val="22"/>
          <w:lang w:val="es-MX" w:eastAsia="es-MX"/>
        </w:rPr>
        <w:t>“DERECHO A LA INFORMACIÓN. SU EJERCICIO SE ENCUENTRA LIMITADO TANTO POR LOS INTERESES NACIONALES Y DE LA SOCIEDAD, COMO POR LOS DERECHOS DE TERCEROS. </w:t>
      </w:r>
      <w:r w:rsidRPr="00C33D7E">
        <w:rPr>
          <w:rFonts w:ascii="Palatino Linotype" w:hAnsi="Palatino Linotype"/>
          <w:i/>
          <w:iCs/>
          <w:sz w:val="22"/>
          <w:szCs w:val="22"/>
          <w:lang w:val="es-MX" w:eastAsia="es-MX"/>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C33D7E">
        <w:rPr>
          <w:rFonts w:ascii="Palatino Linotype" w:hAnsi="Palatino Linotype"/>
          <w:b/>
          <w:bCs/>
          <w:i/>
          <w:iCs/>
          <w:sz w:val="22"/>
          <w:szCs w:val="22"/>
          <w:lang w:val="es-MX" w:eastAsia="es-MX"/>
        </w:rPr>
        <w:t>restringen el acceso a la información en esta materia, en razón de que su conocimiento público puede generar daños a los intereses nacionales y, por el otro, sancionan la inobservancia de esa reserva;</w:t>
      </w:r>
      <w:r w:rsidRPr="00C33D7E">
        <w:rPr>
          <w:rFonts w:ascii="Palatino Linotype" w:hAnsi="Palatino Linotype"/>
          <w:i/>
          <w:iCs/>
          <w:sz w:val="22"/>
          <w:szCs w:val="22"/>
          <w:lang w:val="es-MX" w:eastAsia="es-MX"/>
        </w:rPr>
        <w:t> por lo que hace al interés social, se cuenta con normas que tienden a proteger la averiguación de los delitos, la salud y la moral públicas, </w:t>
      </w:r>
      <w:r w:rsidRPr="00C33D7E">
        <w:rPr>
          <w:rFonts w:ascii="Palatino Linotype" w:hAnsi="Palatino Linotype"/>
          <w:b/>
          <w:bCs/>
          <w:i/>
          <w:iCs/>
          <w:sz w:val="22"/>
          <w:szCs w:val="22"/>
          <w:lang w:val="es-MX" w:eastAsia="es-MX"/>
        </w:rPr>
        <w:t xml:space="preserve">mientras </w:t>
      </w:r>
      <w:r w:rsidRPr="00C33D7E">
        <w:rPr>
          <w:rFonts w:ascii="Palatino Linotype" w:hAnsi="Palatino Linotype"/>
          <w:b/>
          <w:bCs/>
          <w:i/>
          <w:iCs/>
          <w:sz w:val="22"/>
          <w:szCs w:val="22"/>
          <w:lang w:val="es-MX" w:eastAsia="es-MX"/>
        </w:rPr>
        <w:lastRenderedPageBreak/>
        <w:t>que por lo que respecta a la protección de la persona existen normas que protegen el derecho a la vida o a la privacidad de los gobernados.</w:t>
      </w:r>
      <w:r w:rsidRPr="00C33D7E">
        <w:rPr>
          <w:rFonts w:ascii="Palatino Linotype" w:hAnsi="Palatino Linotype"/>
          <w:i/>
          <w:iCs/>
          <w:sz w:val="22"/>
          <w:szCs w:val="22"/>
          <w:lang w:val="es-MX" w:eastAsia="es-MX"/>
        </w:rPr>
        <w:t>”</w:t>
      </w:r>
    </w:p>
    <w:p w:rsidR="00C33D7E" w:rsidRPr="00C33D7E" w:rsidRDefault="00C33D7E" w:rsidP="00C33D7E">
      <w:pPr>
        <w:shd w:val="clear" w:color="auto" w:fill="FFFFFF"/>
        <w:ind w:left="851" w:right="902"/>
        <w:jc w:val="both"/>
        <w:rPr>
          <w:sz w:val="22"/>
          <w:szCs w:val="22"/>
          <w:lang w:val="es-MX" w:eastAsia="es-MX"/>
        </w:rPr>
      </w:pPr>
      <w:r w:rsidRPr="00C33D7E">
        <w:rPr>
          <w:rFonts w:ascii="Palatino Linotype" w:hAnsi="Palatino Linotype"/>
          <w:i/>
          <w:iCs/>
          <w:sz w:val="22"/>
          <w:szCs w:val="22"/>
          <w:lang w:val="es-MX" w:eastAsia="es-MX"/>
        </w:rPr>
        <w:t> </w:t>
      </w:r>
    </w:p>
    <w:p w:rsidR="00C33D7E" w:rsidRPr="005F1BBC" w:rsidRDefault="00C33D7E" w:rsidP="00C33D7E">
      <w:pPr>
        <w:shd w:val="clear" w:color="auto" w:fill="FFFFFF"/>
        <w:ind w:left="851" w:right="902"/>
        <w:jc w:val="both"/>
        <w:rPr>
          <w:sz w:val="22"/>
          <w:szCs w:val="22"/>
          <w:lang w:val="es-MX" w:eastAsia="es-MX"/>
        </w:rPr>
      </w:pPr>
      <w:r w:rsidRPr="00C33D7E">
        <w:rPr>
          <w:rFonts w:ascii="Palatino Linotype" w:hAnsi="Palatino Linotype"/>
          <w:b/>
          <w:bCs/>
          <w:i/>
          <w:iCs/>
          <w:sz w:val="22"/>
          <w:szCs w:val="22"/>
          <w:lang w:val="es-MX" w:eastAsia="es-MX"/>
        </w:rPr>
        <w:t>“TRANSPARENCIA Y ACCESO A LA INFORMACIÓN PÚBLICA GUBERNAMENTAL. EL ARTÍCULO 14, FRACCIÓN I, DE LA LEY FEDERAL RELATIVA, NO VIOLA LA GARANTÍA DE ACCESO A LA INFORMACIÓN.</w:t>
      </w:r>
      <w:r w:rsidRPr="00C33D7E">
        <w:rPr>
          <w:rFonts w:ascii="Palatino Linotype" w:hAnsi="Palatino Linotype"/>
          <w:i/>
          <w:iCs/>
          <w:sz w:val="22"/>
          <w:szCs w:val="22"/>
          <w:lang w:val="es-MX"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C33D7E">
        <w:rPr>
          <w:rFonts w:ascii="Palatino Linotype" w:hAnsi="Palatino Linotype"/>
          <w:b/>
          <w:bCs/>
          <w:i/>
          <w:iCs/>
          <w:sz w:val="22"/>
          <w:szCs w:val="22"/>
          <w:lang w:val="es-MX"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C33D7E">
        <w:rPr>
          <w:rFonts w:ascii="Palatino Linotype" w:hAnsi="Palatino Linotype"/>
          <w:i/>
          <w:iCs/>
          <w:sz w:val="22"/>
          <w:szCs w:val="22"/>
          <w:lang w:val="es-MX"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hAnsi="Palatino Linotype"/>
          <w:i/>
          <w:iCs/>
          <w:sz w:val="22"/>
          <w:szCs w:val="22"/>
          <w:lang w:val="es-MX" w:eastAsia="es-MX"/>
        </w:rPr>
        <w:t>(Sic)</w:t>
      </w:r>
    </w:p>
    <w:p w:rsidR="00C33D7E" w:rsidRDefault="00C33D7E" w:rsidP="00C33D7E"/>
    <w:p w:rsidR="00986DE2" w:rsidRDefault="00DB2594" w:rsidP="00F73DAD">
      <w:pPr>
        <w:tabs>
          <w:tab w:val="left" w:pos="709"/>
        </w:tabs>
        <w:spacing w:line="360" w:lineRule="auto"/>
        <w:jc w:val="both"/>
        <w:rPr>
          <w:rFonts w:ascii="Palatino Linotype" w:hAnsi="Palatino Linotype" w:cs="Arial"/>
        </w:rPr>
      </w:pPr>
      <w:r>
        <w:rPr>
          <w:rFonts w:ascii="Palatino Linotype" w:hAnsi="Palatino Linotype" w:cs="Arial"/>
        </w:rPr>
        <w:t xml:space="preserve">En cuanto al acuerdo número CT/CO/0133/2018 de fecha 20 de diciembre de 2018, emitido por Comité de Transparencia que señala el Sujeto Obligado en su respuesta, este no puede ser considerado por éste Órgano Garante como procedente, en virtud de que el Sujeto Obligado solo hace referencia del mismo en su respuesta, omitiendo acompañar el archivo en donde conste el referente acuerdo, por medio del cual permita determinar si el referido acuerdo se realizó conforme a los términos </w:t>
      </w:r>
      <w:r>
        <w:rPr>
          <w:rFonts w:ascii="Palatino Linotype" w:hAnsi="Palatino Linotype" w:cs="Arial"/>
        </w:rPr>
        <w:lastRenderedPageBreak/>
        <w:t xml:space="preserve">establecidos en la </w:t>
      </w:r>
      <w:r w:rsidRPr="00CD625F">
        <w:rPr>
          <w:rFonts w:ascii="Palatino Linotype" w:hAnsi="Palatino Linotype" w:cs="Arial"/>
        </w:rPr>
        <w:t>Ley de Transparencia y Acceso a la Información Pública del Estado de México y Municipios</w:t>
      </w:r>
      <w:r>
        <w:rPr>
          <w:rFonts w:ascii="Palatino Linotype" w:hAnsi="Palatino Linotype" w:cs="Arial"/>
        </w:rPr>
        <w:t>, para la debida emisión que hagan los Comités de Transparencia de los acuerdos que clasifiquen la información como reservada o confidencial; razón por la cual el Sujeto Obligado deberá emitir un nuevo acuerdo en donde sustente la versión publica de los documentos en donde conste la información que se ordena.</w:t>
      </w:r>
    </w:p>
    <w:p w:rsidR="00DB2594" w:rsidRDefault="00DB2594" w:rsidP="00F73DAD">
      <w:pPr>
        <w:tabs>
          <w:tab w:val="left" w:pos="709"/>
        </w:tabs>
        <w:spacing w:line="360" w:lineRule="auto"/>
        <w:jc w:val="both"/>
        <w:rPr>
          <w:rFonts w:ascii="Palatino Linotype" w:hAnsi="Palatino Linotype" w:cs="Arial"/>
        </w:rPr>
      </w:pPr>
    </w:p>
    <w:p w:rsidR="00E7156F" w:rsidRDefault="00E7156F" w:rsidP="00E7156F">
      <w:pPr>
        <w:spacing w:before="240" w:after="240" w:line="360" w:lineRule="auto"/>
        <w:contextualSpacing/>
        <w:jc w:val="both"/>
        <w:rPr>
          <w:rFonts w:ascii="Palatino Linotype" w:hAnsi="Palatino Linotype" w:cs="Arial"/>
        </w:rPr>
      </w:pPr>
      <w:r w:rsidRPr="009879C0">
        <w:rPr>
          <w:rFonts w:ascii="Palatino Linotype" w:hAnsi="Palatino Linotype" w:cs="Arial"/>
        </w:rPr>
        <w:t xml:space="preserve">Finalmente, </w:t>
      </w:r>
      <w:r>
        <w:rPr>
          <w:rFonts w:ascii="Palatino Linotype" w:hAnsi="Palatino Linotype" w:cs="Arial"/>
        </w:rPr>
        <w:t>en atención a que el Sujeto Obligado en respuesta proporciona información de policías</w:t>
      </w:r>
      <w:r w:rsidR="00DF41BD">
        <w:rPr>
          <w:rFonts w:ascii="Palatino Linotype" w:hAnsi="Palatino Linotype" w:cs="Arial"/>
        </w:rPr>
        <w:t xml:space="preserve"> de la </w:t>
      </w:r>
      <w:r w:rsidR="00DF41BD">
        <w:rPr>
          <w:rFonts w:ascii="Palatino Linotype" w:hAnsi="Palatino Linotype" w:cs="Arial"/>
          <w:bCs/>
        </w:rPr>
        <w:t>Dirección General de Seguridad Ciudadana y Transito</w:t>
      </w:r>
      <w:r w:rsidR="00DF41BD" w:rsidRPr="00EB1669">
        <w:rPr>
          <w:rFonts w:ascii="Palatino Linotype" w:hAnsi="Palatino Linotype" w:cs="Arial"/>
          <w:bCs/>
        </w:rPr>
        <w:t xml:space="preserve"> del Sujeto Obligado</w:t>
      </w:r>
      <w:r w:rsidRPr="009879C0">
        <w:rPr>
          <w:rFonts w:ascii="Palatino Linotype" w:hAnsi="Palatino Linotype"/>
          <w:i/>
        </w:rPr>
        <w:t>,</w:t>
      </w:r>
      <w:r w:rsidRPr="009879C0">
        <w:rPr>
          <w:rFonts w:ascii="Palatino Linotype" w:hAnsi="Palatino Linotype"/>
          <w:i/>
          <w:sz w:val="22"/>
          <w:szCs w:val="22"/>
        </w:rPr>
        <w:t xml:space="preserve"> </w:t>
      </w:r>
      <w:r w:rsidRPr="009879C0">
        <w:rPr>
          <w:rFonts w:ascii="Palatino Linotype" w:hAnsi="Palatino Linotype"/>
        </w:rPr>
        <w:t xml:space="preserve">se determina lo </w:t>
      </w:r>
      <w:r>
        <w:rPr>
          <w:rFonts w:ascii="Palatino Linotype" w:hAnsi="Palatino Linotype"/>
          <w:color w:val="000000"/>
        </w:rPr>
        <w:t>siguiente:</w:t>
      </w:r>
      <w:r>
        <w:rPr>
          <w:rFonts w:ascii="Palatino Linotype" w:hAnsi="Palatino Linotype" w:cs="Arial"/>
        </w:rPr>
        <w:t xml:space="preserve"> de conformidad con lo establecido en los artículos 163, 190 y 222, fracción III de la Ley de Transparencia y Acceso a la Información Pública del Estado de México y Municipios el pleno de este Órgano Garante, ordena se de vista al Titular de la Contraloría Interna y Órgano de Control y Vigilancia de este Instituto a fin de que en ejercicio de sus funciones determine lo conducente.</w:t>
      </w:r>
    </w:p>
    <w:p w:rsidR="00E7156F" w:rsidRDefault="00E7156F" w:rsidP="00E7156F">
      <w:pPr>
        <w:spacing w:before="240" w:after="240" w:line="360" w:lineRule="auto"/>
        <w:contextualSpacing/>
        <w:jc w:val="both"/>
        <w:rPr>
          <w:rFonts w:ascii="Palatino Linotype" w:hAnsi="Palatino Linotype" w:cs="Arial"/>
        </w:rPr>
      </w:pPr>
    </w:p>
    <w:p w:rsidR="00E7156F" w:rsidRDefault="00E7156F" w:rsidP="00E7156F">
      <w:pPr>
        <w:spacing w:before="240" w:after="240" w:line="360" w:lineRule="auto"/>
        <w:jc w:val="both"/>
        <w:rPr>
          <w:rFonts w:ascii="Palatino Linotype" w:hAnsi="Palatino Linotype" w:cs="Arial"/>
        </w:rPr>
      </w:pPr>
      <w:r>
        <w:rPr>
          <w:rFonts w:ascii="Palatino Linotype" w:hAnsi="Palatino Linotype"/>
          <w:b/>
        </w:rPr>
        <w:t xml:space="preserve">Quinto. Versión Pública. </w:t>
      </w:r>
      <w:r w:rsidRPr="0074668D">
        <w:rPr>
          <w:rFonts w:ascii="Palatino Linotype" w:hAnsi="Palatino Linotype" w:cs="Arial"/>
          <w:bCs/>
        </w:rPr>
        <w:t xml:space="preserve">Respecto </w:t>
      </w:r>
      <w:r>
        <w:rPr>
          <w:rFonts w:ascii="Palatino Linotype" w:hAnsi="Palatino Linotype" w:cs="Arial"/>
          <w:bCs/>
        </w:rPr>
        <w:t>de la documentación con la cual se podría colmar la solicitud de información,</w:t>
      </w:r>
      <w:r w:rsidRPr="0074668D">
        <w:rPr>
          <w:rFonts w:ascii="Palatino Linotype" w:hAnsi="Palatino Linotype" w:cs="Arial"/>
          <w:bCs/>
        </w:rPr>
        <w:t xml:space="preserve"> </w:t>
      </w:r>
      <w:r w:rsidRPr="00BB1D9C">
        <w:rPr>
          <w:rFonts w:ascii="Palatino Linotype" w:hAnsi="Palatino Linotype" w:cs="Arial"/>
        </w:rPr>
        <w:t xml:space="preserve">resulta oportuno </w:t>
      </w:r>
      <w:r>
        <w:rPr>
          <w:rFonts w:ascii="Palatino Linotype" w:hAnsi="Palatino Linotype" w:cs="Arial"/>
        </w:rPr>
        <w:t>observar</w:t>
      </w:r>
      <w:r w:rsidRPr="00BB1D9C">
        <w:rPr>
          <w:rFonts w:ascii="Palatino Linotype" w:hAnsi="Palatino Linotype" w:cs="Arial"/>
        </w:rPr>
        <w:t xml:space="preserve"> l</w:t>
      </w:r>
      <w:r>
        <w:rPr>
          <w:rFonts w:ascii="Palatino Linotype" w:hAnsi="Palatino Linotype" w:cs="Arial"/>
        </w:rPr>
        <w:t xml:space="preserve">o dispuesto en los </w:t>
      </w:r>
      <w:r w:rsidRPr="00BB1D9C">
        <w:rPr>
          <w:rFonts w:ascii="Palatino Linotype" w:hAnsi="Palatino Linotype" w:cs="Arial"/>
        </w:rPr>
        <w:t xml:space="preserve">artículos </w:t>
      </w:r>
      <w:r>
        <w:rPr>
          <w:rFonts w:ascii="Palatino Linotype" w:hAnsi="Palatino Linotype" w:cs="Arial"/>
        </w:rPr>
        <w:t>3</w:t>
      </w:r>
      <w:r w:rsidRPr="00BB1D9C">
        <w:rPr>
          <w:rFonts w:ascii="Palatino Linotype" w:hAnsi="Palatino Linotype" w:cs="Arial"/>
        </w:rPr>
        <w:t>, fracciones I</w:t>
      </w:r>
      <w:r>
        <w:rPr>
          <w:rFonts w:ascii="Palatino Linotype" w:hAnsi="Palatino Linotype" w:cs="Arial"/>
        </w:rPr>
        <w:t>X</w:t>
      </w:r>
      <w:r w:rsidRPr="00BB1D9C">
        <w:rPr>
          <w:rFonts w:ascii="Palatino Linotype" w:hAnsi="Palatino Linotype" w:cs="Arial"/>
        </w:rPr>
        <w:t xml:space="preserve">, </w:t>
      </w:r>
      <w:r>
        <w:rPr>
          <w:rFonts w:ascii="Palatino Linotype" w:hAnsi="Palatino Linotype" w:cs="Arial"/>
        </w:rPr>
        <w:t>XX, XXI</w:t>
      </w:r>
      <w:r w:rsidRPr="00BB1D9C">
        <w:rPr>
          <w:rFonts w:ascii="Palatino Linotype" w:hAnsi="Palatino Linotype" w:cs="Arial"/>
        </w:rPr>
        <w:t xml:space="preserve"> y X</w:t>
      </w:r>
      <w:r>
        <w:rPr>
          <w:rFonts w:ascii="Palatino Linotype" w:hAnsi="Palatino Linotype" w:cs="Arial"/>
        </w:rPr>
        <w:t>LV; 4, 91</w:t>
      </w:r>
      <w:r w:rsidRPr="00BB1D9C">
        <w:rPr>
          <w:rFonts w:ascii="Palatino Linotype" w:hAnsi="Palatino Linotype" w:cs="Arial"/>
        </w:rPr>
        <w:t xml:space="preserve">, </w:t>
      </w:r>
      <w:r>
        <w:rPr>
          <w:rFonts w:ascii="Palatino Linotype" w:hAnsi="Palatino Linotype" w:cs="Arial"/>
        </w:rPr>
        <w:t>143</w:t>
      </w:r>
      <w:r w:rsidRPr="00BB1D9C">
        <w:rPr>
          <w:rFonts w:ascii="Palatino Linotype" w:hAnsi="Palatino Linotype" w:cs="Arial"/>
        </w:rPr>
        <w:t xml:space="preserve">, </w:t>
      </w:r>
      <w:r>
        <w:rPr>
          <w:rFonts w:ascii="Palatino Linotype" w:hAnsi="Palatino Linotype" w:cs="Arial"/>
        </w:rPr>
        <w:t>51</w:t>
      </w:r>
      <w:r w:rsidRPr="00BB1D9C">
        <w:rPr>
          <w:rFonts w:ascii="Palatino Linotype" w:hAnsi="Palatino Linotype" w:cs="Arial"/>
        </w:rPr>
        <w:t xml:space="preserve"> y </w:t>
      </w:r>
      <w:r>
        <w:rPr>
          <w:rFonts w:ascii="Palatino Linotype" w:hAnsi="Palatino Linotype" w:cs="Arial"/>
        </w:rPr>
        <w:t>137</w:t>
      </w:r>
      <w:r w:rsidRPr="00BB1D9C">
        <w:rPr>
          <w:rFonts w:ascii="Palatino Linotype" w:hAnsi="Palatino Linotype" w:cs="Arial"/>
        </w:rPr>
        <w:t xml:space="preserve"> de la Ley de Transparencia y Acceso a la Información Pública del Estado de México y Municipios</w:t>
      </w:r>
      <w:r>
        <w:rPr>
          <w:rFonts w:ascii="Palatino Linotype" w:hAnsi="Palatino Linotype" w:cs="Arial"/>
        </w:rPr>
        <w:t>, de los cuales</w:t>
      </w:r>
      <w:r w:rsidRPr="00BB1D9C">
        <w:rPr>
          <w:rFonts w:ascii="Palatino Linotype" w:hAnsi="Palatino Linotype" w:cs="Arial"/>
        </w:rPr>
        <w:t xml:space="preserve"> se desprende que el derecho de acceso a la información pública tiene como limitante el respeto a la intimidad y a la vida privada de las personas,</w:t>
      </w:r>
      <w:r>
        <w:rPr>
          <w:rFonts w:ascii="Palatino Linotype" w:hAnsi="Palatino Linotype" w:cs="Arial"/>
        </w:rPr>
        <w:t xml:space="preserve"> por lo que la entrega de la información, en caso de contener datos personales, deberá ser </w:t>
      </w:r>
      <w:r>
        <w:rPr>
          <w:rFonts w:ascii="Palatino Linotype" w:hAnsi="Palatino Linotype" w:cs="Arial"/>
        </w:rPr>
        <w:lastRenderedPageBreak/>
        <w:t xml:space="preserve">en versión pública </w:t>
      </w:r>
      <w:r w:rsidRPr="001304D2">
        <w:rPr>
          <w:rFonts w:ascii="Palatino Linotype" w:hAnsi="Palatino Linotype" w:cs="Arial"/>
        </w:rPr>
        <w:t>en la que se suprima aquella información relacionada con la vida privada de los servidores públicos.</w:t>
      </w:r>
    </w:p>
    <w:p w:rsidR="00E7156F" w:rsidRDefault="00E7156F" w:rsidP="00E7156F">
      <w:pPr>
        <w:spacing w:before="240" w:after="240" w:line="360" w:lineRule="auto"/>
        <w:jc w:val="both"/>
        <w:rPr>
          <w:rFonts w:ascii="Palatino Linotype" w:hAnsi="Palatino Linotype" w:cs="Arial"/>
        </w:rPr>
      </w:pPr>
      <w:r>
        <w:rPr>
          <w:rFonts w:ascii="Palatino Linotype" w:hAnsi="Palatino Linotype" w:cs="Arial"/>
        </w:rPr>
        <w:t>En este sentido,</w:t>
      </w:r>
      <w:r w:rsidRPr="0074668D">
        <w:rPr>
          <w:rFonts w:ascii="Palatino Linotype" w:hAnsi="Palatino Linotype" w:cs="Arial"/>
        </w:rPr>
        <w:t xml:space="preserve"> los Sujetos Obligados </w:t>
      </w:r>
      <w:r>
        <w:rPr>
          <w:rFonts w:ascii="Palatino Linotype" w:hAnsi="Palatino Linotype" w:cs="Arial"/>
        </w:rPr>
        <w:t xml:space="preserve">deben observar que los datos personales en su posesión </w:t>
      </w:r>
      <w:r w:rsidRPr="0074668D">
        <w:rPr>
          <w:rFonts w:ascii="Palatino Linotype" w:hAnsi="Palatino Linotype" w:cs="Arial"/>
        </w:rPr>
        <w:t>estén protegidos, adopta</w:t>
      </w:r>
      <w:r>
        <w:rPr>
          <w:rFonts w:ascii="Palatino Linotype" w:hAnsi="Palatino Linotype" w:cs="Arial"/>
        </w:rPr>
        <w:t>ndo</w:t>
      </w:r>
      <w:r w:rsidRPr="0074668D">
        <w:rPr>
          <w:rFonts w:ascii="Palatino Linotype" w:hAnsi="Palatino Linotype" w:cs="Arial"/>
        </w:rPr>
        <w:t xml:space="preserve"> las medidas de seguridad administrativa, física y técnica necesarias para garantizar la integridad, confidencialidad y disponibilidad de los </w:t>
      </w:r>
      <w:r>
        <w:rPr>
          <w:rFonts w:ascii="Palatino Linotype" w:hAnsi="Palatino Linotype" w:cs="Arial"/>
        </w:rPr>
        <w:t>mismos</w:t>
      </w:r>
      <w:r w:rsidRPr="0074668D">
        <w:rPr>
          <w:rFonts w:ascii="Palatino Linotype" w:hAnsi="Palatino Linotype" w:cs="Arial"/>
        </w:rPr>
        <w:t xml:space="preserve">, considerando además, que conforme al principio de finalidad todo tratamiento de datos personales que efectúen los Sujetos Obligados deberá estar justificado en la Ley, </w:t>
      </w:r>
      <w:r>
        <w:rPr>
          <w:rFonts w:ascii="Palatino Linotype" w:hAnsi="Palatino Linotype" w:cs="Arial"/>
        </w:rPr>
        <w:t>tal como lo</w:t>
      </w:r>
      <w:r w:rsidRPr="0074668D">
        <w:rPr>
          <w:rFonts w:ascii="Palatino Linotype" w:hAnsi="Palatino Linotype" w:cs="Arial"/>
        </w:rPr>
        <w:t xml:space="preserve"> disp</w:t>
      </w:r>
      <w:r>
        <w:rPr>
          <w:rFonts w:ascii="Palatino Linotype" w:hAnsi="Palatino Linotype" w:cs="Arial"/>
        </w:rPr>
        <w:t>one</w:t>
      </w:r>
      <w:r w:rsidRPr="0074668D">
        <w:rPr>
          <w:rFonts w:ascii="Palatino Linotype" w:hAnsi="Palatino Linotype" w:cs="Arial"/>
        </w:rPr>
        <w:t xml:space="preserve"> el artículo </w:t>
      </w:r>
      <w:r>
        <w:rPr>
          <w:rFonts w:ascii="Palatino Linotype" w:hAnsi="Palatino Linotype" w:cs="Arial"/>
        </w:rPr>
        <w:t>3</w:t>
      </w:r>
      <w:r w:rsidRPr="0074668D">
        <w:rPr>
          <w:rFonts w:ascii="Palatino Linotype" w:hAnsi="Palatino Linotype" w:cs="Arial"/>
        </w:rPr>
        <w:t xml:space="preserve">8 de la Ley de Protección de Datos Personales </w:t>
      </w:r>
      <w:r>
        <w:rPr>
          <w:rFonts w:ascii="Palatino Linotype" w:hAnsi="Palatino Linotype" w:cs="Arial"/>
        </w:rPr>
        <w:t xml:space="preserve">en Posesión de Sujetos Obligados </w:t>
      </w:r>
      <w:r w:rsidRPr="0074668D">
        <w:rPr>
          <w:rFonts w:ascii="Palatino Linotype" w:hAnsi="Palatino Linotype" w:cs="Arial"/>
        </w:rPr>
        <w:t>del Estado de México</w:t>
      </w:r>
      <w:r>
        <w:rPr>
          <w:rFonts w:ascii="Palatino Linotype" w:hAnsi="Palatino Linotype" w:cs="Arial"/>
        </w:rPr>
        <w:t xml:space="preserve"> y Municipios. </w:t>
      </w:r>
    </w:p>
    <w:p w:rsidR="00E7156F" w:rsidRDefault="00E7156F" w:rsidP="00E7156F">
      <w:pPr>
        <w:spacing w:before="240" w:after="240" w:line="360" w:lineRule="auto"/>
        <w:jc w:val="both"/>
        <w:rPr>
          <w:rFonts w:ascii="Palatino Linotype" w:hAnsi="Palatino Linotype" w:cs="Arial"/>
        </w:rPr>
      </w:pPr>
      <w:r w:rsidRPr="0074668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7156F" w:rsidRDefault="00E7156F" w:rsidP="00E7156F">
      <w:pPr>
        <w:spacing w:before="240" w:after="240" w:line="360" w:lineRule="auto"/>
        <w:jc w:val="both"/>
        <w:rPr>
          <w:rFonts w:ascii="Palatino Linotype" w:hAnsi="Palatino Linotype" w:cs="Arial"/>
        </w:rPr>
      </w:pPr>
      <w:r>
        <w:rPr>
          <w:rFonts w:ascii="Palatino Linotype" w:hAnsi="Palatino Linotype" w:cs="Arial"/>
        </w:rPr>
        <w:t>E</w:t>
      </w:r>
      <w:r w:rsidRPr="0074668D">
        <w:rPr>
          <w:rFonts w:ascii="Palatino Linotype" w:hAnsi="Palatino Linotype" w:cs="Arial"/>
        </w:rPr>
        <w:t xml:space="preserve">n el caso específico, es criterio reiterado </w:t>
      </w:r>
      <w:r>
        <w:rPr>
          <w:rFonts w:ascii="Palatino Linotype" w:hAnsi="Palatino Linotype" w:cs="Arial"/>
        </w:rPr>
        <w:t>de este Instituto</w:t>
      </w:r>
      <w:r w:rsidRPr="0074668D">
        <w:rPr>
          <w:rFonts w:ascii="Palatino Linotype" w:hAnsi="Palatino Linotype" w:cs="Arial"/>
        </w:rPr>
        <w:t xml:space="preserve"> que además de los datos especificados en la Ley de Transparencia y Acceso a la Información Pública del Estado de México y Municipios</w:t>
      </w:r>
      <w:r>
        <w:rPr>
          <w:rFonts w:ascii="Palatino Linotype" w:hAnsi="Palatino Linotype" w:cs="Arial"/>
        </w:rPr>
        <w:t>,</w:t>
      </w:r>
      <w:r w:rsidRPr="0074668D">
        <w:rPr>
          <w:rFonts w:ascii="Palatino Linotype" w:hAnsi="Palatino Linotype" w:cs="Arial"/>
        </w:rPr>
        <w:t xml:space="preserve"> se consideran confidenciales y por tanto deben testarse al momento de la elaboración de versiones públicas 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sidRPr="0074668D">
        <w:rPr>
          <w:rFonts w:ascii="Palatino Linotype" w:hAnsi="Palatino Linotype" w:cs="Arial"/>
        </w:rPr>
        <w:t xml:space="preserve"> (CURP)</w:t>
      </w:r>
      <w:r>
        <w:rPr>
          <w:rFonts w:ascii="Palatino Linotype" w:hAnsi="Palatino Linotype" w:cs="Arial"/>
        </w:rPr>
        <w:t xml:space="preserve"> y</w:t>
      </w:r>
      <w:r w:rsidRPr="0074668D">
        <w:rPr>
          <w:rFonts w:ascii="Palatino Linotype" w:hAnsi="Palatino Linotype" w:cs="Arial"/>
        </w:rPr>
        <w:t xml:space="preserve"> la </w:t>
      </w:r>
      <w:r w:rsidRPr="0074668D">
        <w:rPr>
          <w:rFonts w:ascii="Palatino Linotype" w:hAnsi="Palatino Linotype" w:cs="Arial"/>
          <w:b/>
        </w:rPr>
        <w:t>Clave de cualquier tipo de seguridad social</w:t>
      </w:r>
      <w:r>
        <w:rPr>
          <w:rFonts w:ascii="Palatino Linotype" w:hAnsi="Palatino Linotype" w:cs="Arial"/>
        </w:rPr>
        <w:t xml:space="preserve"> (ISSEMYM, u otros), y los que de manera sucinta se analizan a continuación, entre otros.</w:t>
      </w:r>
    </w:p>
    <w:p w:rsidR="00E7156F" w:rsidRDefault="00E7156F" w:rsidP="00E7156F">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lastRenderedPageBreak/>
        <w:t xml:space="preserve">En cuanto al </w:t>
      </w:r>
      <w:r>
        <w:rPr>
          <w:rFonts w:ascii="Palatino Linotype" w:hAnsi="Palatino Linotype" w:cs="Arial"/>
          <w:lang w:eastAsia="es-MX"/>
        </w:rPr>
        <w:t xml:space="preserve">RFC, este </w:t>
      </w:r>
      <w:r w:rsidRPr="0074668D">
        <w:rPr>
          <w:rFonts w:ascii="Palatino Linotype" w:hAnsi="Palatino Linotype" w:cs="Arial"/>
          <w:lang w:eastAsia="es-MX"/>
        </w:rPr>
        <w:t>constituye un dato personal, ya que para su obtención es necesario acreditar ante la autoridad fiscal previamente la identidad de la persona, su fecha de nacimiento, entre otros aspectos.</w:t>
      </w:r>
    </w:p>
    <w:p w:rsidR="00E7156F" w:rsidRDefault="00E7156F" w:rsidP="00E7156F">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rsidR="00E7156F" w:rsidRDefault="00E7156F" w:rsidP="00E7156F">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Lo anterior es compartido por el Instituto </w:t>
      </w:r>
      <w:r>
        <w:rPr>
          <w:rFonts w:ascii="Palatino Linotype" w:hAnsi="Palatino Linotype" w:cs="Arial"/>
          <w:lang w:eastAsia="es-MX"/>
        </w:rPr>
        <w:t xml:space="preserve">Nacional de Transparencia, Acceso </w:t>
      </w:r>
      <w:r w:rsidRPr="0074668D">
        <w:rPr>
          <w:rFonts w:ascii="Palatino Linotype" w:hAnsi="Palatino Linotype" w:cs="Arial"/>
          <w:lang w:eastAsia="es-MX"/>
        </w:rPr>
        <w:t xml:space="preserve">a la Información </w:t>
      </w:r>
      <w:r>
        <w:rPr>
          <w:rFonts w:ascii="Palatino Linotype" w:hAnsi="Palatino Linotype" w:cs="Arial"/>
          <w:lang w:eastAsia="es-MX"/>
        </w:rPr>
        <w:t xml:space="preserve">y </w:t>
      </w:r>
      <w:r w:rsidRPr="0074668D">
        <w:rPr>
          <w:rFonts w:ascii="Palatino Linotype" w:hAnsi="Palatino Linotype" w:cs="Arial"/>
          <w:lang w:eastAsia="es-MX"/>
        </w:rPr>
        <w:t>Prot</w:t>
      </w:r>
      <w:r>
        <w:rPr>
          <w:rFonts w:ascii="Palatino Linotype" w:hAnsi="Palatino Linotype" w:cs="Arial"/>
          <w:lang w:eastAsia="es-MX"/>
        </w:rPr>
        <w:t>ección de Datos (IN</w:t>
      </w:r>
      <w:r w:rsidRPr="0074668D">
        <w:rPr>
          <w:rFonts w:ascii="Palatino Linotype" w:hAnsi="Palatino Linotype" w:cs="Arial"/>
          <w:lang w:eastAsia="es-MX"/>
        </w:rPr>
        <w:t xml:space="preserve">AI) a través del Criterio </w:t>
      </w:r>
      <w:r>
        <w:rPr>
          <w:rFonts w:ascii="Palatino Linotype" w:hAnsi="Palatino Linotype" w:cs="Arial"/>
          <w:lang w:eastAsia="es-MX"/>
        </w:rPr>
        <w:t>19</w:t>
      </w:r>
      <w:r w:rsidRPr="0074668D">
        <w:rPr>
          <w:rFonts w:ascii="Palatino Linotype" w:hAnsi="Palatino Linotype" w:cs="Arial"/>
          <w:lang w:eastAsia="es-MX"/>
        </w:rPr>
        <w:t>/</w:t>
      </w:r>
      <w:r>
        <w:rPr>
          <w:rFonts w:ascii="Palatino Linotype" w:hAnsi="Palatino Linotype" w:cs="Arial"/>
          <w:lang w:eastAsia="es-MX"/>
        </w:rPr>
        <w:t>17</w:t>
      </w:r>
      <w:r w:rsidRPr="0074668D">
        <w:rPr>
          <w:rFonts w:ascii="Palatino Linotype" w:hAnsi="Palatino Linotype" w:cs="Arial"/>
          <w:lang w:eastAsia="es-MX"/>
        </w:rPr>
        <w:t>, el cual es del tenor literal siguiente:</w:t>
      </w:r>
    </w:p>
    <w:p w:rsidR="00E7156F" w:rsidRPr="00452AF2" w:rsidRDefault="00E7156F" w:rsidP="00E7156F">
      <w:pPr>
        <w:spacing w:after="120"/>
        <w:ind w:left="851" w:right="902"/>
        <w:jc w:val="both"/>
        <w:rPr>
          <w:rFonts w:ascii="Arial" w:hAnsi="Arial" w:cs="Arial"/>
          <w:lang w:val="es-MX"/>
        </w:rPr>
      </w:pPr>
      <w:r w:rsidRPr="00452AF2">
        <w:rPr>
          <w:rFonts w:ascii="Palatino Linotype" w:hAnsi="Palatino Linotype" w:cs="Arial"/>
          <w:b/>
          <w:bCs/>
          <w:i/>
          <w:sz w:val="20"/>
          <w:szCs w:val="20"/>
        </w:rPr>
        <w:t xml:space="preserve">“Registro Federal de Contribuyentes (RFC) de personas físicas. </w:t>
      </w:r>
      <w:r w:rsidRPr="00452AF2">
        <w:rPr>
          <w:rFonts w:ascii="Palatino Linotype" w:hAnsi="Palatino Linotype" w:cs="Arial"/>
          <w:bCs/>
          <w:i/>
          <w:sz w:val="20"/>
          <w:szCs w:val="20"/>
        </w:rPr>
        <w:t>E</w:t>
      </w:r>
      <w:r w:rsidRPr="00452AF2">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452AF2">
        <w:rPr>
          <w:rFonts w:ascii="Palatino Linotype" w:hAnsi="Palatino Linotype" w:cs="Arial"/>
          <w:bCs/>
          <w:i/>
          <w:sz w:val="20"/>
          <w:szCs w:val="20"/>
        </w:rPr>
        <w:t xml:space="preserve">” </w:t>
      </w:r>
      <w:r w:rsidRPr="00A03658">
        <w:rPr>
          <w:rFonts w:ascii="Palatino Linotype" w:hAnsi="Palatino Linotype" w:cs="Arial"/>
          <w:bCs/>
          <w:i/>
          <w:sz w:val="20"/>
          <w:szCs w:val="20"/>
        </w:rPr>
        <w:t>(Sic)</w:t>
      </w:r>
    </w:p>
    <w:p w:rsidR="00E7156F" w:rsidRPr="00E7156F" w:rsidRDefault="00E7156F" w:rsidP="00E7156F">
      <w:pPr>
        <w:pStyle w:val="Sinespaciado"/>
        <w:spacing w:before="240" w:after="240" w:line="360" w:lineRule="auto"/>
        <w:jc w:val="both"/>
        <w:rPr>
          <w:rFonts w:ascii="Palatino Linotype" w:hAnsi="Palatino Linotype" w:cs="Arial"/>
          <w:sz w:val="24"/>
          <w:szCs w:val="24"/>
          <w:lang w:eastAsia="es-MX"/>
        </w:rPr>
      </w:pPr>
      <w:r w:rsidRPr="00E7156F">
        <w:rPr>
          <w:rFonts w:ascii="Palatino Linotype" w:hAnsi="Palatino Linotype" w:cs="Arial"/>
          <w:sz w:val="24"/>
          <w:szCs w:val="24"/>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7156F" w:rsidRPr="00E7156F" w:rsidRDefault="00E7156F" w:rsidP="00E7156F">
      <w:pPr>
        <w:pStyle w:val="Sinespaciado"/>
        <w:spacing w:before="240" w:after="240" w:line="360" w:lineRule="auto"/>
        <w:jc w:val="both"/>
        <w:rPr>
          <w:rFonts w:ascii="Palatino Linotype" w:eastAsia="Calibri" w:hAnsi="Palatino Linotype" w:cs="Arial"/>
          <w:sz w:val="24"/>
          <w:szCs w:val="24"/>
          <w:lang w:eastAsia="es-MX"/>
        </w:rPr>
      </w:pPr>
      <w:r w:rsidRPr="00E7156F">
        <w:rPr>
          <w:rFonts w:ascii="Palatino Linotype" w:hAnsi="Palatino Linotype" w:cs="Arial"/>
          <w:sz w:val="24"/>
          <w:szCs w:val="24"/>
          <w:lang w:eastAsia="es-MX"/>
        </w:rPr>
        <w:t>En cuanto al CURP,</w:t>
      </w:r>
      <w:r w:rsidRPr="00E7156F">
        <w:rPr>
          <w:rFonts w:ascii="Palatino Linotype" w:hAnsi="Palatino Linotype" w:cs="Arial"/>
          <w:sz w:val="24"/>
          <w:szCs w:val="24"/>
        </w:rPr>
        <w:t xml:space="preserve"> en virtud de que éste se </w:t>
      </w:r>
      <w:r w:rsidRPr="00E7156F">
        <w:rPr>
          <w:rFonts w:ascii="Palatino Linotype" w:eastAsia="Calibri" w:hAnsi="Palatino Linotype" w:cs="Arial"/>
          <w:sz w:val="24"/>
          <w:szCs w:val="24"/>
          <w:lang w:eastAsia="es-MX"/>
        </w:rPr>
        <w:t xml:space="preserve">integra por datos personales que únicamente le conciernen a un particular como son su fecha de nacimiento, su </w:t>
      </w:r>
      <w:r w:rsidRPr="00E7156F">
        <w:rPr>
          <w:rFonts w:ascii="Palatino Linotype" w:eastAsia="Calibri" w:hAnsi="Palatino Linotype" w:cs="Arial"/>
          <w:sz w:val="24"/>
          <w:szCs w:val="24"/>
          <w:lang w:eastAsia="es-MX"/>
        </w:rPr>
        <w:lastRenderedPageBreak/>
        <w:t>nombre, sus apellidos y su lugar de nacimiento; información que permite distinguirlo del resto de los habitantes, se considera que es de carácter confidencial.</w:t>
      </w:r>
    </w:p>
    <w:p w:rsidR="00E7156F" w:rsidRDefault="00E7156F" w:rsidP="00E7156F">
      <w:pPr>
        <w:spacing w:before="240" w:after="240" w:line="360" w:lineRule="auto"/>
        <w:jc w:val="both"/>
        <w:rPr>
          <w:rFonts w:ascii="Palatino Linotype" w:hAnsi="Palatino Linotype" w:cs="Arial"/>
        </w:rPr>
      </w:pPr>
      <w:r w:rsidRPr="0074668D">
        <w:rPr>
          <w:rFonts w:ascii="Palatino Linotype" w:hAnsi="Palatino Linotype" w:cs="Arial"/>
        </w:rPr>
        <w:t xml:space="preserve">Argumento que es compartido por el </w:t>
      </w:r>
      <w:r w:rsidRPr="0074668D">
        <w:rPr>
          <w:rFonts w:ascii="Palatino Linotype" w:hAnsi="Palatino Linotype" w:cs="Arial"/>
          <w:lang w:eastAsia="es-MX"/>
        </w:rPr>
        <w:t xml:space="preserve">Instituto </w:t>
      </w:r>
      <w:r>
        <w:rPr>
          <w:rFonts w:ascii="Palatino Linotype" w:hAnsi="Palatino Linotype" w:cs="Arial"/>
          <w:lang w:eastAsia="es-MX"/>
        </w:rPr>
        <w:t xml:space="preserve">Nacional de Transparencia, Acceso </w:t>
      </w:r>
      <w:r w:rsidRPr="0074668D">
        <w:rPr>
          <w:rFonts w:ascii="Palatino Linotype" w:hAnsi="Palatino Linotype" w:cs="Arial"/>
          <w:lang w:eastAsia="es-MX"/>
        </w:rPr>
        <w:t xml:space="preserve">a la Información </w:t>
      </w:r>
      <w:r>
        <w:rPr>
          <w:rFonts w:ascii="Palatino Linotype" w:hAnsi="Palatino Linotype" w:cs="Arial"/>
          <w:lang w:eastAsia="es-MX"/>
        </w:rPr>
        <w:t xml:space="preserve">y </w:t>
      </w:r>
      <w:r w:rsidRPr="0074668D">
        <w:rPr>
          <w:rFonts w:ascii="Palatino Linotype" w:hAnsi="Palatino Linotype" w:cs="Arial"/>
          <w:lang w:eastAsia="es-MX"/>
        </w:rPr>
        <w:t>Prot</w:t>
      </w:r>
      <w:r>
        <w:rPr>
          <w:rFonts w:ascii="Palatino Linotype" w:hAnsi="Palatino Linotype" w:cs="Arial"/>
          <w:lang w:eastAsia="es-MX"/>
        </w:rPr>
        <w:t>ección de Datos (IN</w:t>
      </w:r>
      <w:r w:rsidRPr="0074668D">
        <w:rPr>
          <w:rFonts w:ascii="Palatino Linotype" w:hAnsi="Palatino Linotype" w:cs="Arial"/>
          <w:lang w:eastAsia="es-MX"/>
        </w:rPr>
        <w:t>AI)</w:t>
      </w:r>
      <w:r w:rsidRPr="00155BC7">
        <w:rPr>
          <w:rStyle w:val="Textoennegrita"/>
          <w:rFonts w:ascii="Palatino Linotype" w:hAnsi="Palatino Linotype" w:cs="Arial"/>
        </w:rPr>
        <w:t>, conforme al</w:t>
      </w:r>
      <w:r w:rsidRPr="00C461A0">
        <w:rPr>
          <w:rStyle w:val="Textoennegrita"/>
          <w:rFonts w:ascii="Palatino Linotype" w:hAnsi="Palatino Linotype" w:cs="Arial"/>
        </w:rPr>
        <w:t xml:space="preserve"> </w:t>
      </w:r>
      <w:r w:rsidRPr="00C461A0">
        <w:rPr>
          <w:rFonts w:ascii="Palatino Linotype" w:hAnsi="Palatino Linotype" w:cs="Arial"/>
        </w:rPr>
        <w:t xml:space="preserve">criterio número </w:t>
      </w:r>
      <w:r>
        <w:rPr>
          <w:rFonts w:ascii="Palatino Linotype" w:hAnsi="Palatino Linotype" w:cs="Arial"/>
        </w:rPr>
        <w:t>18/17</w:t>
      </w:r>
      <w:r w:rsidRPr="00C461A0">
        <w:rPr>
          <w:rFonts w:ascii="Palatino Linotype" w:hAnsi="Palatino Linotype" w:cs="Arial"/>
        </w:rPr>
        <w:t>,</w:t>
      </w:r>
      <w:r w:rsidRPr="0074668D">
        <w:rPr>
          <w:rFonts w:ascii="Palatino Linotype" w:hAnsi="Palatino Linotype" w:cs="Arial"/>
        </w:rPr>
        <w:t xml:space="preserve"> el cual refiere: </w:t>
      </w:r>
    </w:p>
    <w:p w:rsidR="00E7156F" w:rsidRPr="00E3370D" w:rsidRDefault="00E7156F" w:rsidP="00E7156F">
      <w:pPr>
        <w:pStyle w:val="Default"/>
        <w:spacing w:after="120"/>
        <w:ind w:left="851" w:right="902"/>
        <w:jc w:val="both"/>
        <w:rPr>
          <w:b/>
        </w:rPr>
      </w:pPr>
      <w:r w:rsidRPr="00E3370D">
        <w:rPr>
          <w:rFonts w:ascii="Palatino Linotype" w:hAnsi="Palatino Linotype"/>
          <w:b/>
          <w:bCs/>
          <w:i/>
          <w:sz w:val="20"/>
          <w:szCs w:val="20"/>
          <w:lang w:eastAsia="es-MX"/>
        </w:rPr>
        <w:t>“</w:t>
      </w:r>
      <w:r w:rsidRPr="00E3370D">
        <w:rPr>
          <w:rFonts w:ascii="Palatino Linotype" w:hAnsi="Palatino Linotype"/>
          <w:b/>
          <w:bCs/>
          <w:i/>
          <w:sz w:val="20"/>
          <w:szCs w:val="20"/>
        </w:rPr>
        <w:t xml:space="preserve">Clave Única de Registro de Población (CURP). </w:t>
      </w:r>
      <w:r w:rsidRPr="00E3370D">
        <w:rPr>
          <w:rFonts w:ascii="Palatino Linotype" w:hAnsi="Palatino Linotype"/>
          <w:bCs/>
          <w:i/>
          <w:sz w:val="20"/>
          <w:szCs w:val="20"/>
        </w:rPr>
        <w:t xml:space="preserve">La </w:t>
      </w:r>
      <w:r w:rsidRPr="00E3370D">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E3370D">
        <w:rPr>
          <w:rFonts w:ascii="Palatino Linotype" w:hAnsi="Palatino Linotype"/>
          <w:i/>
          <w:sz w:val="20"/>
          <w:szCs w:val="20"/>
          <w:lang w:eastAsia="es-MX"/>
        </w:rPr>
        <w:t>”</w:t>
      </w:r>
      <w:r w:rsidRPr="00A03658">
        <w:rPr>
          <w:rFonts w:ascii="Palatino Linotype" w:hAnsi="Palatino Linotype"/>
          <w:i/>
          <w:sz w:val="20"/>
          <w:szCs w:val="20"/>
          <w:lang w:eastAsia="es-MX"/>
        </w:rPr>
        <w:t xml:space="preserve"> (Sic)</w:t>
      </w:r>
    </w:p>
    <w:p w:rsidR="00E7156F" w:rsidRDefault="00E7156F" w:rsidP="00E7156F">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E7156F" w:rsidRPr="00BE1510" w:rsidRDefault="00E7156F" w:rsidP="00E7156F">
      <w:pPr>
        <w:autoSpaceDE w:val="0"/>
        <w:autoSpaceDN w:val="0"/>
        <w:adjustRightInd w:val="0"/>
        <w:spacing w:before="240" w:after="240"/>
        <w:ind w:left="567" w:right="900"/>
        <w:jc w:val="both"/>
        <w:rPr>
          <w:rFonts w:ascii="Palatino Linotype" w:hAnsi="Palatino Linotype"/>
          <w:i/>
          <w:sz w:val="20"/>
          <w:szCs w:val="20"/>
        </w:rPr>
      </w:pPr>
      <w:r w:rsidRPr="00BE1510">
        <w:rPr>
          <w:rFonts w:ascii="Palatino Linotype" w:hAnsi="Palatino Linotype"/>
          <w:b/>
          <w:i/>
          <w:sz w:val="20"/>
          <w:szCs w:val="20"/>
        </w:rPr>
        <w:t>“El número de ficha de identificación única de los trabajadores es información de carácter confidencial.</w:t>
      </w:r>
      <w:r w:rsidRPr="00BE1510">
        <w:rPr>
          <w:rFonts w:ascii="Palatino Linotype" w:hAnsi="Palatino Linotype"/>
          <w:i/>
          <w:sz w:val="20"/>
          <w:szCs w:val="20"/>
        </w:rPr>
        <w:t xml:space="preserve"> </w:t>
      </w:r>
      <w:r w:rsidRPr="00BE1510">
        <w:rPr>
          <w:rFonts w:ascii="Palatino Linotype" w:hAnsi="Palatino Linotype"/>
          <w:i/>
          <w:sz w:val="20"/>
          <w:szCs w:val="20"/>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BE1510">
        <w:rPr>
          <w:rFonts w:ascii="Palatino Linotype" w:hAnsi="Palatino Linotype"/>
          <w:i/>
          <w:sz w:val="20"/>
          <w:szCs w:val="20"/>
        </w:rPr>
        <w:t xml:space="preserve">, </w:t>
      </w:r>
      <w:r w:rsidRPr="00BE1510">
        <w:rPr>
          <w:rFonts w:ascii="Palatino Linotype" w:hAnsi="Palatino Linotype"/>
          <w:i/>
          <w:sz w:val="20"/>
          <w:szCs w:val="20"/>
          <w:u w:val="single"/>
        </w:rPr>
        <w:t>dicha información es susceptible de clasificarse con el carácter de confidencial</w:t>
      </w:r>
      <w:r w:rsidRPr="00BE1510">
        <w:rPr>
          <w:rFonts w:ascii="Palatino Linotype" w:hAnsi="Palatino Linotype"/>
          <w:i/>
          <w:sz w:val="20"/>
          <w:szCs w:val="20"/>
        </w:rPr>
        <w:t>, en términos de lo establecido en el artículo 18, fracción II de la Ley Federal de Transparencia y Acceso a la Información Pública Gubernamental, en virtud de que a través de la misma es posible conocer información personal de su titular.” (Sic)</w:t>
      </w:r>
    </w:p>
    <w:p w:rsidR="00E7156F" w:rsidRPr="00E7156F" w:rsidRDefault="00E7156F" w:rsidP="00E7156F">
      <w:pPr>
        <w:pStyle w:val="Sinespaciado"/>
        <w:spacing w:before="240" w:after="240" w:line="360" w:lineRule="auto"/>
        <w:jc w:val="both"/>
        <w:rPr>
          <w:rFonts w:ascii="Palatino Linotype" w:hAnsi="Palatino Linotype" w:cs="Arial"/>
          <w:sz w:val="24"/>
          <w:szCs w:val="24"/>
        </w:rPr>
      </w:pPr>
      <w:r w:rsidRPr="00E7156F">
        <w:rPr>
          <w:rFonts w:ascii="Palatino Linotype" w:hAnsi="Palatino Linotype" w:cs="Arial"/>
          <w:sz w:val="24"/>
          <w:szCs w:val="24"/>
        </w:rPr>
        <w:lastRenderedPageBreak/>
        <w:t>Por cuanto hace a las deducciones, para entender los límites y alcances de esta restricción, es oportuno recurrir al artículo 84 de la Ley del Trabajo de los Servidores Públicos del Estado y Municipios:</w:t>
      </w:r>
    </w:p>
    <w:p w:rsidR="00E7156F" w:rsidRPr="005C1591" w:rsidRDefault="00E7156F" w:rsidP="00E7156F">
      <w:pPr>
        <w:spacing w:after="120"/>
        <w:ind w:left="851" w:right="851"/>
        <w:contextualSpacing/>
        <w:jc w:val="both"/>
        <w:rPr>
          <w:rFonts w:ascii="Palatino Linotype" w:hAnsi="Palatino Linotype" w:cs="Arial"/>
          <w:b/>
          <w:bCs/>
          <w:i/>
          <w:noProof/>
          <w:sz w:val="22"/>
          <w:szCs w:val="22"/>
        </w:rPr>
      </w:pPr>
      <w:r w:rsidRPr="005C1591">
        <w:rPr>
          <w:rFonts w:ascii="Palatino Linotype" w:hAnsi="Palatino Linotype" w:cs="Arial"/>
          <w:b/>
          <w:bCs/>
          <w:i/>
          <w:noProof/>
          <w:sz w:val="22"/>
          <w:szCs w:val="22"/>
        </w:rPr>
        <w:t xml:space="preserve">“ARTÍCULO 84. </w:t>
      </w:r>
      <w:r w:rsidRPr="005C1591">
        <w:rPr>
          <w:rFonts w:ascii="Palatino Linotype" w:hAnsi="Palatino Linotype" w:cs="Arial"/>
          <w:bCs/>
          <w:i/>
          <w:noProof/>
          <w:sz w:val="22"/>
          <w:szCs w:val="22"/>
        </w:rPr>
        <w:t>Sólo podrán hacerse retenciones, descuentos o deducciones al sueldo de los servidores públicos por concepto de:</w:t>
      </w:r>
    </w:p>
    <w:p w:rsidR="00E7156F" w:rsidRPr="005C1591" w:rsidRDefault="00E7156F" w:rsidP="00E7156F">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 Gravámenes fiscales relacionados con el sueldo;</w:t>
      </w:r>
    </w:p>
    <w:p w:rsidR="00E7156F" w:rsidRPr="005C1591" w:rsidRDefault="00E7156F" w:rsidP="00E7156F">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rsidR="00E7156F" w:rsidRPr="005C1591" w:rsidRDefault="00E7156F" w:rsidP="00E7156F">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III. Cuotas sindicales;</w:t>
      </w:r>
    </w:p>
    <w:p w:rsidR="00E7156F" w:rsidRPr="005C1591" w:rsidRDefault="00E7156F" w:rsidP="00E7156F">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rsidR="00E7156F" w:rsidRPr="005C1591" w:rsidRDefault="00E7156F" w:rsidP="00E7156F">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rsidR="00E7156F" w:rsidRPr="005C1591" w:rsidRDefault="00E7156F" w:rsidP="00E7156F">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rsidR="00E7156F" w:rsidRPr="005C1591" w:rsidRDefault="00E7156F" w:rsidP="00E7156F">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VII. Faltas de puntualidad o de asistencia injustificadas;</w:t>
      </w:r>
    </w:p>
    <w:p w:rsidR="00E7156F" w:rsidRPr="005C1591" w:rsidRDefault="00E7156F" w:rsidP="00E7156F">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
          <w:bCs/>
          <w:i/>
          <w:noProof/>
          <w:sz w:val="22"/>
          <w:szCs w:val="22"/>
        </w:rPr>
        <w:t>VIII. Pensiones alimenticias ordenadas por la autoridad judicial;</w:t>
      </w:r>
      <w:r w:rsidRPr="005C1591">
        <w:rPr>
          <w:rFonts w:ascii="Palatino Linotype" w:hAnsi="Palatino Linotype" w:cs="Arial"/>
          <w:bCs/>
          <w:i/>
          <w:noProof/>
          <w:sz w:val="22"/>
          <w:szCs w:val="22"/>
        </w:rPr>
        <w:t xml:space="preserve"> o</w:t>
      </w:r>
    </w:p>
    <w:p w:rsidR="00E7156F" w:rsidRPr="005C1591" w:rsidRDefault="00E7156F" w:rsidP="00E7156F">
      <w:pPr>
        <w:spacing w:after="120"/>
        <w:ind w:left="851" w:right="851"/>
        <w:contextualSpacing/>
        <w:jc w:val="both"/>
        <w:rPr>
          <w:rFonts w:ascii="Palatino Linotype" w:hAnsi="Palatino Linotype" w:cs="Arial"/>
          <w:b/>
          <w:bCs/>
          <w:i/>
          <w:noProof/>
          <w:sz w:val="22"/>
          <w:szCs w:val="22"/>
        </w:rPr>
      </w:pPr>
      <w:r w:rsidRPr="005C1591">
        <w:rPr>
          <w:rFonts w:ascii="Palatino Linotype" w:hAnsi="Palatino Linotype" w:cs="Arial"/>
          <w:b/>
          <w:bCs/>
          <w:i/>
          <w:noProof/>
          <w:sz w:val="22"/>
          <w:szCs w:val="22"/>
        </w:rPr>
        <w:t>IX. Cualquier otro convenido con instituciones de servicios y aceptado por el servidor público.</w:t>
      </w:r>
    </w:p>
    <w:p w:rsidR="00E7156F" w:rsidRPr="005C1591" w:rsidRDefault="00E7156F" w:rsidP="00E7156F">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E7156F" w:rsidRPr="00E7156F" w:rsidRDefault="00E7156F" w:rsidP="00E7156F">
      <w:pPr>
        <w:pStyle w:val="Sinespaciado"/>
        <w:spacing w:before="240" w:after="240" w:line="360" w:lineRule="auto"/>
        <w:jc w:val="both"/>
        <w:rPr>
          <w:rFonts w:ascii="Palatino Linotype" w:hAnsi="Palatino Linotype" w:cs="Arial"/>
          <w:sz w:val="24"/>
          <w:szCs w:val="24"/>
        </w:rPr>
      </w:pPr>
      <w:r w:rsidRPr="00E7156F">
        <w:rPr>
          <w:rFonts w:ascii="Palatino Linotype" w:hAnsi="Palatino Linotype" w:cs="Arial"/>
          <w:sz w:val="24"/>
          <w:szCs w:val="24"/>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w:t>
      </w:r>
      <w:r w:rsidRPr="00E7156F">
        <w:rPr>
          <w:rFonts w:ascii="Palatino Linotype" w:hAnsi="Palatino Linotype" w:cs="Arial"/>
          <w:sz w:val="24"/>
          <w:szCs w:val="24"/>
        </w:rPr>
        <w:lastRenderedPageBreak/>
        <w:t>créditos adquiridos con instituciones privadas que no se relacionen con el gasto público, son información que debe clasificarse como confidencial.</w:t>
      </w:r>
    </w:p>
    <w:p w:rsidR="00E7156F" w:rsidRPr="007E5B97" w:rsidRDefault="00E7156F" w:rsidP="00E7156F">
      <w:pPr>
        <w:spacing w:before="240" w:after="240" w:line="360" w:lineRule="auto"/>
        <w:jc w:val="both"/>
        <w:rPr>
          <w:rFonts w:ascii="Palatino Linotype" w:hAnsi="Palatino Linotype" w:cs="Arial"/>
        </w:rPr>
      </w:pPr>
      <w:r w:rsidRPr="00D73A46">
        <w:rPr>
          <w:rFonts w:ascii="Palatino Linotype" w:hAnsi="Palatino Linotype" w:cs="Arial"/>
        </w:rPr>
        <w:t>De esta manera, la entrega de documentos en su versión pública debe acompañarse necesariamente del Acuerdo del Comité de Transparencia que la sustente, en el que se expongan los fundamentos y razonamientos</w:t>
      </w:r>
      <w:r w:rsidRPr="007E5B97">
        <w:rPr>
          <w:rFonts w:ascii="Palatino Linotype" w:hAnsi="Palatino Linotype" w:cs="Arial"/>
        </w:rPr>
        <w:t xml:space="preserve">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7156F" w:rsidRPr="00E7156F" w:rsidRDefault="00E7156F" w:rsidP="00E7156F">
      <w:pPr>
        <w:pStyle w:val="Prrafodelista"/>
        <w:spacing w:before="240" w:after="240" w:line="360" w:lineRule="auto"/>
        <w:ind w:left="0"/>
        <w:jc w:val="both"/>
        <w:rPr>
          <w:rFonts w:ascii="Palatino Linotype" w:hAnsi="Palatino Linotype" w:cs="Arial"/>
          <w:iCs/>
          <w:sz w:val="24"/>
          <w:szCs w:val="24"/>
        </w:rPr>
      </w:pPr>
      <w:r w:rsidRPr="00E7156F">
        <w:rPr>
          <w:rFonts w:ascii="Palatino Linotype" w:hAnsi="Palatino Linotype" w:cs="Arial"/>
          <w:sz w:val="24"/>
          <w:szCs w:val="24"/>
        </w:rPr>
        <w:t>Entonces, el Sujeto Obligado debe seguir el procedimiento legal establecido para su declaración,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7156F">
        <w:rPr>
          <w:rFonts w:ascii="Palatino Linotype" w:hAnsi="Palatino Linotype" w:cs="Arial"/>
          <w:iCs/>
          <w:sz w:val="24"/>
          <w:szCs w:val="24"/>
        </w:rPr>
        <w:t>, que son del siguiente tenor:</w:t>
      </w:r>
    </w:p>
    <w:p w:rsidR="00E7156F" w:rsidRPr="005C1591" w:rsidRDefault="00E7156F" w:rsidP="00E7156F">
      <w:pPr>
        <w:pStyle w:val="Prrafodelista"/>
        <w:spacing w:before="240" w:after="240"/>
        <w:ind w:left="567"/>
        <w:contextualSpacing/>
        <w:jc w:val="both"/>
        <w:rPr>
          <w:rFonts w:ascii="Palatino Linotype" w:hAnsi="Palatino Linotype" w:cs="Arial"/>
          <w:i/>
          <w:iCs/>
        </w:rPr>
      </w:pPr>
      <w:r w:rsidRPr="00481B30">
        <w:rPr>
          <w:rFonts w:ascii="Palatino Linotype" w:hAnsi="Palatino Linotype" w:cs="Arial"/>
          <w:i/>
          <w:iCs/>
          <w:sz w:val="20"/>
          <w:szCs w:val="20"/>
        </w:rPr>
        <w:t>“</w:t>
      </w:r>
      <w:r w:rsidRPr="005C1591">
        <w:rPr>
          <w:rFonts w:ascii="Palatino Linotype" w:hAnsi="Palatino Linotype" w:cs="Arial"/>
          <w:b/>
          <w:i/>
          <w:iCs/>
        </w:rPr>
        <w:t>Artículo 137.</w:t>
      </w:r>
      <w:r w:rsidRPr="005C1591">
        <w:rPr>
          <w:rFonts w:ascii="Palatino Linotype" w:hAnsi="Palatino Linotype" w:cs="Arial"/>
          <w:i/>
          <w:iC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7156F" w:rsidRPr="005C1591" w:rsidRDefault="00E7156F" w:rsidP="00E7156F">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Artículo 143.</w:t>
      </w:r>
      <w:r w:rsidRPr="005C1591">
        <w:rPr>
          <w:rFonts w:ascii="Palatino Linotype" w:hAnsi="Palatino Linotype" w:cs="Arial"/>
          <w:i/>
          <w:iCs/>
        </w:rPr>
        <w:t xml:space="preserve"> Para los efectos de esta Ley se considera información confidencial, la clasificada como tal, de manera permanente, por su naturaleza, cuando:</w:t>
      </w:r>
    </w:p>
    <w:p w:rsidR="00E7156F" w:rsidRPr="005C1591" w:rsidRDefault="00E7156F" w:rsidP="00E7156F">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lastRenderedPageBreak/>
        <w:t>I.</w:t>
      </w:r>
      <w:r w:rsidRPr="005C1591">
        <w:rPr>
          <w:rFonts w:ascii="Palatino Linotype" w:hAnsi="Palatino Linotype" w:cs="Arial"/>
          <w:i/>
          <w:iCs/>
        </w:rPr>
        <w:t xml:space="preserve"> Se refiera a la información privada y los datos personales concernientes a una persona física o </w:t>
      </w:r>
      <w:proofErr w:type="gramStart"/>
      <w:r w:rsidRPr="005C1591">
        <w:rPr>
          <w:rFonts w:ascii="Palatino Linotype" w:hAnsi="Palatino Linotype" w:cs="Arial"/>
          <w:i/>
          <w:iCs/>
        </w:rPr>
        <w:t>jurídico</w:t>
      </w:r>
      <w:proofErr w:type="gramEnd"/>
      <w:r w:rsidRPr="005C1591">
        <w:rPr>
          <w:rFonts w:ascii="Palatino Linotype" w:hAnsi="Palatino Linotype" w:cs="Arial"/>
          <w:i/>
          <w:iCs/>
        </w:rPr>
        <w:t xml:space="preserve"> colectiva identificada o identificable; </w:t>
      </w:r>
    </w:p>
    <w:p w:rsidR="00E7156F" w:rsidRPr="005C1591" w:rsidRDefault="00E7156F" w:rsidP="00E7156F">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II.</w:t>
      </w:r>
      <w:r w:rsidRPr="005C1591">
        <w:rPr>
          <w:rFonts w:ascii="Palatino Linotype" w:hAnsi="Palatino Linotype" w:cs="Arial"/>
          <w:i/>
          <w:iCs/>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E7156F" w:rsidRPr="005C1591" w:rsidRDefault="00E7156F" w:rsidP="00E7156F">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III.</w:t>
      </w:r>
      <w:r w:rsidRPr="005C1591">
        <w:rPr>
          <w:rFonts w:ascii="Palatino Linotype" w:hAnsi="Palatino Linotype" w:cs="Arial"/>
          <w:i/>
          <w:iCs/>
        </w:rPr>
        <w:t xml:space="preserve"> La que presenten los particulares a los sujetos obligados, de conformidad con lo dispuesto por las leyes o los tratados internacionales. </w:t>
      </w:r>
    </w:p>
    <w:p w:rsidR="00E7156F" w:rsidRPr="005C1591" w:rsidRDefault="00E7156F" w:rsidP="00E7156F">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i/>
          <w:iCs/>
        </w:rPr>
        <w:t xml:space="preserve">La información confidencial no estará sujeta a temporalidad alguna y sólo podrán tener acceso a ella los titulares de la misma, sus representantes y los servidores públicos facultados para ello. </w:t>
      </w:r>
    </w:p>
    <w:p w:rsidR="00E7156F" w:rsidRPr="005C1591" w:rsidRDefault="00E7156F" w:rsidP="00E7156F">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i/>
          <w:iCs/>
        </w:rPr>
        <w:t>No se considerará confidencial la información que se encuentre en los registros públicos o en fuentes de acceso público, ni tampoco la que sea considerada por la presente ley como información pública.</w:t>
      </w:r>
    </w:p>
    <w:p w:rsidR="00E7156F" w:rsidRPr="005C1591" w:rsidRDefault="00E7156F" w:rsidP="00E7156F">
      <w:pPr>
        <w:pStyle w:val="Prrafodelista"/>
        <w:spacing w:before="240" w:after="240"/>
        <w:ind w:left="567"/>
        <w:contextualSpacing/>
        <w:jc w:val="both"/>
        <w:rPr>
          <w:rFonts w:ascii="Palatino Linotype" w:hAnsi="Palatino Linotype" w:cs="Arial"/>
        </w:rPr>
      </w:pPr>
      <w:r w:rsidRPr="005C1591">
        <w:rPr>
          <w:rFonts w:ascii="Palatino Linotype" w:hAnsi="Palatino Linotype" w:cs="Arial"/>
          <w:b/>
          <w:i/>
        </w:rPr>
        <w:t>Artículo 149.</w:t>
      </w:r>
      <w:r w:rsidRPr="005C1591">
        <w:rPr>
          <w:rFonts w:ascii="Palatino Linotype" w:hAnsi="Palatino Linotype" w:cs="Arial"/>
          <w:i/>
        </w:rPr>
        <w:t xml:space="preserve"> El acuerdo que clasifique la información como confidencial deberá contener un razonamiento lógico en el que demuestre que la información se encuentra en alguna o algunas de las hipótesis previstas en la presente Ley.” (Sic)</w:t>
      </w:r>
    </w:p>
    <w:p w:rsidR="00E7156F" w:rsidRDefault="00E7156F" w:rsidP="00E7156F">
      <w:pPr>
        <w:spacing w:before="240" w:after="240" w:line="360" w:lineRule="auto"/>
        <w:jc w:val="both"/>
        <w:rPr>
          <w:rFonts w:ascii="Palatino Linotype" w:hAnsi="Palatino Linotype" w:cs="Arial"/>
        </w:rPr>
      </w:pPr>
      <w:r w:rsidRPr="0074668D">
        <w:rPr>
          <w:rFonts w:ascii="Palatino Linotype" w:hAnsi="Palatino Linotype" w:cs="Arial"/>
        </w:rPr>
        <w:t xml:space="preserve">De este modo, como ha </w:t>
      </w:r>
      <w:r>
        <w:rPr>
          <w:rFonts w:ascii="Palatino Linotype" w:hAnsi="Palatino Linotype" w:cs="Arial"/>
        </w:rPr>
        <w:t>sido</w:t>
      </w:r>
      <w:r w:rsidRPr="0074668D">
        <w:rPr>
          <w:rFonts w:ascii="Palatino Linotype" w:hAnsi="Palatino Linotype" w:cs="Arial"/>
        </w:rPr>
        <w:t xml:space="preserve">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E7156F" w:rsidRPr="001863D2" w:rsidRDefault="00E7156F" w:rsidP="00E7156F">
      <w:pPr>
        <w:spacing w:before="240" w:after="360" w:line="360" w:lineRule="auto"/>
        <w:jc w:val="both"/>
        <w:rPr>
          <w:rFonts w:ascii="Palatino Linotype" w:hAnsi="Palatino Linotype" w:cs="Arial"/>
          <w:bCs/>
          <w:iCs/>
          <w:color w:val="222222"/>
          <w:lang w:val="es-MX" w:eastAsia="es-MX"/>
        </w:rPr>
      </w:pPr>
      <w:r w:rsidRPr="001863D2">
        <w:rPr>
          <w:rFonts w:ascii="Palatino Linotype" w:hAnsi="Palatino Linotype" w:cs="Arial"/>
        </w:rPr>
        <w:t xml:space="preserve">Asimismo, deberá observar lo que para tal efecto señalen los </w:t>
      </w:r>
      <w:r w:rsidRPr="001863D2">
        <w:rPr>
          <w:rFonts w:ascii="Palatino Linotype" w:hAnsi="Palatino Linotype" w:cs="Arial"/>
          <w:bCs/>
          <w:iCs/>
          <w:color w:val="222222"/>
          <w:lang w:eastAsia="es-MX"/>
        </w:rPr>
        <w:t>Lineamientos Generale</w:t>
      </w:r>
      <w:r>
        <w:rPr>
          <w:rFonts w:ascii="Palatino Linotype" w:hAnsi="Palatino Linotype" w:cs="Arial"/>
          <w:bCs/>
          <w:iCs/>
          <w:color w:val="222222"/>
          <w:lang w:eastAsia="es-MX"/>
        </w:rPr>
        <w:t xml:space="preserve">s en Materia de Clasificación y </w:t>
      </w:r>
      <w:r w:rsidRPr="001863D2">
        <w:rPr>
          <w:rFonts w:ascii="Palatino Linotype" w:hAnsi="Palatino Linotype" w:cs="Arial"/>
          <w:bCs/>
          <w:iCs/>
          <w:color w:val="222222"/>
          <w:lang w:eastAsia="es-MX"/>
        </w:rPr>
        <w:t>Desclasificació</w:t>
      </w:r>
      <w:r>
        <w:rPr>
          <w:rFonts w:ascii="Palatino Linotype" w:hAnsi="Palatino Linotype" w:cs="Arial"/>
          <w:bCs/>
          <w:iCs/>
          <w:color w:val="222222"/>
          <w:lang w:eastAsia="es-MX"/>
        </w:rPr>
        <w:t xml:space="preserve">n de la Información, así </w:t>
      </w:r>
      <w:r w:rsidRPr="001863D2">
        <w:rPr>
          <w:rFonts w:ascii="Palatino Linotype" w:hAnsi="Palatino Linotype" w:cs="Arial"/>
          <w:bCs/>
          <w:iCs/>
          <w:color w:val="222222"/>
          <w:lang w:eastAsia="es-MX"/>
        </w:rPr>
        <w:t xml:space="preserve">como para la elaboración de Versiones Públicas, que fueron expedidos por el </w:t>
      </w:r>
      <w:r w:rsidRPr="001863D2">
        <w:rPr>
          <w:rFonts w:ascii="Palatino Linotype" w:hAnsi="Palatino Linotype" w:cs="Arial"/>
          <w:bCs/>
          <w:iCs/>
          <w:color w:val="222222"/>
          <w:lang w:val="es-MX" w:eastAsia="es-MX"/>
        </w:rPr>
        <w:t>Consejo Nacional del Sistema Nacional de Transparencia, Acceso a la Información Pública y Protección de Datos Personales, que dicen:</w:t>
      </w:r>
    </w:p>
    <w:p w:rsidR="00E7156F" w:rsidRPr="001863D2" w:rsidRDefault="00E7156F" w:rsidP="00E7156F">
      <w:pPr>
        <w:spacing w:after="360"/>
        <w:ind w:left="567"/>
        <w:contextualSpacing/>
        <w:jc w:val="both"/>
        <w:rPr>
          <w:rFonts w:ascii="Arial" w:hAnsi="Arial" w:cs="Arial"/>
          <w:color w:val="222222"/>
          <w:sz w:val="20"/>
          <w:szCs w:val="20"/>
          <w:lang w:val="es-MX" w:eastAsia="es-MX"/>
        </w:rPr>
      </w:pPr>
      <w:r w:rsidRPr="001863D2">
        <w:rPr>
          <w:rFonts w:ascii="Palatino Linotype" w:hAnsi="Palatino Linotype" w:cs="Arial"/>
          <w:b/>
          <w:bCs/>
          <w:i/>
          <w:iCs/>
          <w:color w:val="222222"/>
          <w:sz w:val="20"/>
          <w:szCs w:val="20"/>
          <w:lang w:val="es-MX" w:eastAsia="es-MX"/>
        </w:rPr>
        <w:t>“Cuarto.</w:t>
      </w:r>
      <w:r>
        <w:rPr>
          <w:rFonts w:ascii="Palatino Linotype" w:hAnsi="Palatino Linotype" w:cs="Arial"/>
          <w:i/>
          <w:iCs/>
          <w:color w:val="222222"/>
          <w:sz w:val="20"/>
          <w:szCs w:val="20"/>
          <w:lang w:val="es-MX" w:eastAsia="es-MX"/>
        </w:rPr>
        <w:t xml:space="preserve"> </w:t>
      </w:r>
      <w:r w:rsidRPr="001863D2">
        <w:rPr>
          <w:rFonts w:ascii="Palatino Linotype" w:hAnsi="Palatino Linotype" w:cs="Arial"/>
          <w:i/>
          <w:iCs/>
          <w:color w:val="222222"/>
          <w:sz w:val="20"/>
          <w:szCs w:val="20"/>
          <w:u w:val="single"/>
          <w:lang w:val="es-MX" w:eastAsia="es-MX"/>
        </w:rPr>
        <w:t>Para clasificar la información como reservada o confidencial, de man</w:t>
      </w:r>
      <w:r>
        <w:rPr>
          <w:rFonts w:ascii="Palatino Linotype" w:hAnsi="Palatino Linotype" w:cs="Arial"/>
          <w:i/>
          <w:iCs/>
          <w:color w:val="222222"/>
          <w:sz w:val="20"/>
          <w:szCs w:val="20"/>
          <w:u w:val="single"/>
          <w:lang w:val="es-MX" w:eastAsia="es-MX"/>
        </w:rPr>
        <w:t xml:space="preserve">era total o parcial, el titular </w:t>
      </w:r>
      <w:r w:rsidRPr="001863D2">
        <w:rPr>
          <w:rFonts w:ascii="Palatino Linotype" w:hAnsi="Palatino Linotype" w:cs="Arial"/>
          <w:i/>
          <w:iCs/>
          <w:color w:val="222222"/>
          <w:sz w:val="20"/>
          <w:szCs w:val="20"/>
          <w:u w:val="single"/>
          <w:lang w:val="es-MX" w:eastAsia="es-MX"/>
        </w:rPr>
        <w:t xml:space="preserve">del área del sujeto obligado deberá atender lo dispuesto por el Título Sexto de la Ley General, en relación con las disposiciones contenidas en los presentes lineamientos, así como en aquellas </w:t>
      </w:r>
      <w:r>
        <w:rPr>
          <w:rFonts w:ascii="Palatino Linotype" w:hAnsi="Palatino Linotype" w:cs="Arial"/>
          <w:i/>
          <w:iCs/>
          <w:color w:val="222222"/>
          <w:sz w:val="20"/>
          <w:szCs w:val="20"/>
          <w:u w:val="single"/>
          <w:lang w:val="es-MX" w:eastAsia="es-MX"/>
        </w:rPr>
        <w:lastRenderedPageBreak/>
        <w:t xml:space="preserve">disposiciones legales </w:t>
      </w:r>
      <w:r w:rsidRPr="001863D2">
        <w:rPr>
          <w:rFonts w:ascii="Palatino Linotype" w:hAnsi="Palatino Linotype" w:cs="Arial"/>
          <w:i/>
          <w:iCs/>
          <w:color w:val="222222"/>
          <w:sz w:val="20"/>
          <w:szCs w:val="20"/>
          <w:u w:val="single"/>
          <w:lang w:val="es-MX" w:eastAsia="es-MX"/>
        </w:rPr>
        <w:t>aplicables a la materia en el ámbito de sus respectivas competencias</w:t>
      </w:r>
      <w:r w:rsidRPr="001863D2">
        <w:rPr>
          <w:rFonts w:ascii="Palatino Linotype" w:hAnsi="Palatino Linotype" w:cs="Arial"/>
          <w:i/>
          <w:iCs/>
          <w:color w:val="222222"/>
          <w:sz w:val="20"/>
          <w:szCs w:val="20"/>
          <w:lang w:val="es-MX" w:eastAsia="es-MX"/>
        </w:rPr>
        <w:t>, en tanto estas últimas no contravengan lo dispuesto en la Ley General.</w:t>
      </w:r>
    </w:p>
    <w:p w:rsidR="00E7156F" w:rsidRPr="001863D2" w:rsidRDefault="00E7156F" w:rsidP="00E7156F">
      <w:pPr>
        <w:shd w:val="clear" w:color="auto" w:fill="FFFFFF"/>
        <w:spacing w:before="240" w:after="240"/>
        <w:ind w:left="567"/>
        <w:contextualSpacing/>
        <w:jc w:val="both"/>
        <w:rPr>
          <w:rFonts w:ascii="Arial" w:hAnsi="Arial" w:cs="Arial"/>
          <w:color w:val="222222"/>
          <w:sz w:val="20"/>
          <w:szCs w:val="20"/>
          <w:lang w:val="es-MX" w:eastAsia="es-MX"/>
        </w:rPr>
      </w:pPr>
      <w:r w:rsidRPr="001863D2">
        <w:rPr>
          <w:rFonts w:ascii="Palatino Linotype" w:hAnsi="Palatino Linotype" w:cs="Arial"/>
          <w:i/>
          <w:iCs/>
          <w:color w:val="222222"/>
          <w:sz w:val="20"/>
          <w:szCs w:val="20"/>
          <w:lang w:val="es-MX" w:eastAsia="es-MX"/>
        </w:rPr>
        <w:t>Los sujetos obligados deberán aplicar, de manera estricta, las excepciones al derecho de acceso a la información y sólo podrán invocarlas cuando acrediten su procedencia.</w:t>
      </w:r>
    </w:p>
    <w:p w:rsidR="00E7156F" w:rsidRPr="001863D2" w:rsidRDefault="00E7156F" w:rsidP="00E7156F">
      <w:pPr>
        <w:shd w:val="clear" w:color="auto" w:fill="FFFFFF"/>
        <w:spacing w:before="240" w:after="240"/>
        <w:ind w:left="567"/>
        <w:contextualSpacing/>
        <w:jc w:val="both"/>
        <w:rPr>
          <w:rFonts w:ascii="Arial" w:hAnsi="Arial" w:cs="Arial"/>
          <w:color w:val="222222"/>
          <w:sz w:val="20"/>
          <w:szCs w:val="20"/>
          <w:lang w:val="es-MX" w:eastAsia="es-MX"/>
        </w:rPr>
      </w:pPr>
      <w:r w:rsidRPr="001863D2">
        <w:rPr>
          <w:rFonts w:ascii="Palatino Linotype" w:hAnsi="Palatino Linotype" w:cs="Arial"/>
          <w:i/>
          <w:iCs/>
          <w:color w:val="222222"/>
          <w:sz w:val="20"/>
          <w:szCs w:val="20"/>
          <w:lang w:val="es-MX" w:eastAsia="es-MX"/>
        </w:rPr>
        <w:t>…</w:t>
      </w:r>
    </w:p>
    <w:p w:rsidR="00E7156F" w:rsidRPr="001863D2" w:rsidRDefault="00E7156F" w:rsidP="00E7156F">
      <w:pPr>
        <w:shd w:val="clear" w:color="auto" w:fill="FFFFFF"/>
        <w:spacing w:before="240" w:after="240"/>
        <w:ind w:left="567"/>
        <w:contextualSpacing/>
        <w:jc w:val="both"/>
        <w:rPr>
          <w:rFonts w:ascii="Arial" w:hAnsi="Arial" w:cs="Arial"/>
          <w:color w:val="222222"/>
          <w:sz w:val="20"/>
          <w:szCs w:val="20"/>
          <w:lang w:val="es-MX" w:eastAsia="es-MX"/>
        </w:rPr>
      </w:pPr>
      <w:r w:rsidRPr="001863D2">
        <w:rPr>
          <w:rFonts w:ascii="Palatino Linotype" w:hAnsi="Palatino Linotype" w:cs="Arial"/>
          <w:b/>
          <w:bCs/>
          <w:i/>
          <w:iCs/>
          <w:color w:val="222222"/>
          <w:sz w:val="20"/>
          <w:szCs w:val="20"/>
          <w:lang w:val="es-MX" w:eastAsia="es-MX"/>
        </w:rPr>
        <w:t>Quinto.</w:t>
      </w:r>
      <w:r>
        <w:rPr>
          <w:rFonts w:ascii="Palatino Linotype" w:hAnsi="Palatino Linotype" w:cs="Arial"/>
          <w:b/>
          <w:bCs/>
          <w:i/>
          <w:iCs/>
          <w:color w:val="222222"/>
          <w:sz w:val="20"/>
          <w:szCs w:val="20"/>
          <w:lang w:val="es-MX" w:eastAsia="es-MX"/>
        </w:rPr>
        <w:t xml:space="preserve"> </w:t>
      </w:r>
      <w:r w:rsidRPr="001863D2">
        <w:rPr>
          <w:rFonts w:ascii="Palatino Linotype" w:hAnsi="Palatino Linotype" w:cs="Arial"/>
          <w:i/>
          <w:iCs/>
          <w:color w:val="222222"/>
          <w:sz w:val="20"/>
          <w:szCs w:val="20"/>
          <w:u w:val="single"/>
          <w:lang w:val="es-MX" w:eastAsia="es-MX"/>
        </w:rPr>
        <w:t>La carga de la prueba para justificar toda negativa de acceso a l</w:t>
      </w:r>
      <w:r>
        <w:rPr>
          <w:rFonts w:ascii="Palatino Linotype" w:hAnsi="Palatino Linotype" w:cs="Arial"/>
          <w:i/>
          <w:iCs/>
          <w:color w:val="222222"/>
          <w:sz w:val="20"/>
          <w:szCs w:val="20"/>
          <w:u w:val="single"/>
          <w:lang w:val="es-MX" w:eastAsia="es-MX"/>
        </w:rPr>
        <w:t xml:space="preserve">a información, por actualizarse </w:t>
      </w:r>
      <w:r w:rsidRPr="001863D2">
        <w:rPr>
          <w:rFonts w:ascii="Palatino Linotype" w:hAnsi="Palatino Linotype" w:cs="Arial"/>
          <w:i/>
          <w:iCs/>
          <w:color w:val="222222"/>
          <w:sz w:val="20"/>
          <w:szCs w:val="20"/>
          <w:u w:val="single"/>
          <w:lang w:val="es-MX" w:eastAsia="es-MX"/>
        </w:rPr>
        <w:t>cualquiera de los supuestos de clasificación previstos en la Ley General</w:t>
      </w:r>
      <w:r>
        <w:rPr>
          <w:rFonts w:ascii="Palatino Linotype" w:hAnsi="Palatino Linotype" w:cs="Arial"/>
          <w:i/>
          <w:iCs/>
          <w:color w:val="222222"/>
          <w:sz w:val="20"/>
          <w:szCs w:val="20"/>
          <w:lang w:val="es-MX" w:eastAsia="es-MX"/>
        </w:rPr>
        <w:t xml:space="preserve">, la Ley Federal </w:t>
      </w:r>
      <w:r>
        <w:rPr>
          <w:rFonts w:ascii="Palatino Linotype" w:hAnsi="Palatino Linotype" w:cs="Arial"/>
          <w:i/>
          <w:iCs/>
          <w:color w:val="222222"/>
          <w:sz w:val="20"/>
          <w:szCs w:val="20"/>
          <w:u w:val="single"/>
          <w:lang w:val="es-MX" w:eastAsia="es-MX"/>
        </w:rPr>
        <w:t xml:space="preserve">y leyes estatales, </w:t>
      </w:r>
      <w:r w:rsidRPr="001863D2">
        <w:rPr>
          <w:rFonts w:ascii="Palatino Linotype" w:hAnsi="Palatino Linotype" w:cs="Arial"/>
          <w:i/>
          <w:iCs/>
          <w:color w:val="222222"/>
          <w:sz w:val="20"/>
          <w:szCs w:val="20"/>
          <w:u w:val="single"/>
          <w:lang w:val="es-MX" w:eastAsia="es-MX"/>
        </w:rPr>
        <w:t>corresponderá a los sujetos obligados, por lo que deberán fundar y motivar deb</w:t>
      </w:r>
      <w:r>
        <w:rPr>
          <w:rFonts w:ascii="Palatino Linotype" w:hAnsi="Palatino Linotype" w:cs="Arial"/>
          <w:i/>
          <w:iCs/>
          <w:color w:val="222222"/>
          <w:sz w:val="20"/>
          <w:szCs w:val="20"/>
          <w:u w:val="single"/>
          <w:lang w:val="es-MX" w:eastAsia="es-MX"/>
        </w:rPr>
        <w:t xml:space="preserve">idamente la clasificación de la </w:t>
      </w:r>
      <w:r w:rsidRPr="001863D2">
        <w:rPr>
          <w:rFonts w:ascii="Palatino Linotype" w:hAnsi="Palatino Linotype" w:cs="Arial"/>
          <w:i/>
          <w:iCs/>
          <w:color w:val="222222"/>
          <w:sz w:val="20"/>
          <w:szCs w:val="20"/>
          <w:u w:val="single"/>
          <w:lang w:val="es-MX" w:eastAsia="es-MX"/>
        </w:rPr>
        <w:t>información ante una solicitud de acceso o al momento en que gene</w:t>
      </w:r>
      <w:r>
        <w:rPr>
          <w:rFonts w:ascii="Palatino Linotype" w:hAnsi="Palatino Linotype" w:cs="Arial"/>
          <w:i/>
          <w:iCs/>
          <w:color w:val="222222"/>
          <w:sz w:val="20"/>
          <w:szCs w:val="20"/>
          <w:u w:val="single"/>
          <w:lang w:val="es-MX" w:eastAsia="es-MX"/>
        </w:rPr>
        <w:t xml:space="preserve">ren versiones públicas para dar </w:t>
      </w:r>
      <w:r w:rsidRPr="001863D2">
        <w:rPr>
          <w:rFonts w:ascii="Palatino Linotype" w:hAnsi="Palatino Linotype" w:cs="Arial"/>
          <w:i/>
          <w:iCs/>
          <w:color w:val="222222"/>
          <w:sz w:val="20"/>
          <w:szCs w:val="20"/>
          <w:u w:val="single"/>
          <w:lang w:val="es-MX" w:eastAsia="es-MX"/>
        </w:rPr>
        <w:t>cumplimiento a las obligaciones de transparencia</w:t>
      </w:r>
      <w:r w:rsidRPr="001863D2">
        <w:rPr>
          <w:rFonts w:ascii="Palatino Linotype" w:hAnsi="Palatino Linotype" w:cs="Arial"/>
          <w:i/>
          <w:iCs/>
          <w:color w:val="222222"/>
          <w:sz w:val="20"/>
          <w:szCs w:val="20"/>
          <w:lang w:val="es-MX" w:eastAsia="es-MX"/>
        </w:rPr>
        <w:t>, observando lo dispuest</w:t>
      </w:r>
      <w:r>
        <w:rPr>
          <w:rFonts w:ascii="Palatino Linotype" w:hAnsi="Palatino Linotype" w:cs="Arial"/>
          <w:i/>
          <w:iCs/>
          <w:color w:val="222222"/>
          <w:sz w:val="20"/>
          <w:szCs w:val="20"/>
          <w:lang w:val="es-MX" w:eastAsia="es-MX"/>
        </w:rPr>
        <w:t xml:space="preserve">o en la Ley General y las demás </w:t>
      </w:r>
      <w:r w:rsidRPr="001863D2">
        <w:rPr>
          <w:rFonts w:ascii="Palatino Linotype" w:hAnsi="Palatino Linotype" w:cs="Arial"/>
          <w:i/>
          <w:iCs/>
          <w:color w:val="222222"/>
          <w:sz w:val="20"/>
          <w:szCs w:val="20"/>
          <w:lang w:val="es-MX" w:eastAsia="es-MX"/>
        </w:rPr>
        <w:t>disposiciones aplicables en la materia.</w:t>
      </w:r>
    </w:p>
    <w:p w:rsidR="00E7156F" w:rsidRPr="001863D2" w:rsidRDefault="00E7156F" w:rsidP="00E7156F">
      <w:pPr>
        <w:shd w:val="clear" w:color="auto" w:fill="FFFFFF"/>
        <w:spacing w:before="240" w:after="240"/>
        <w:ind w:left="567"/>
        <w:contextualSpacing/>
        <w:jc w:val="both"/>
        <w:rPr>
          <w:rFonts w:ascii="Arial" w:hAnsi="Arial" w:cs="Arial"/>
          <w:color w:val="222222"/>
          <w:sz w:val="20"/>
          <w:szCs w:val="20"/>
          <w:lang w:val="es-MX" w:eastAsia="es-MX"/>
        </w:rPr>
      </w:pPr>
      <w:r>
        <w:rPr>
          <w:rFonts w:ascii="Palatino Linotype" w:hAnsi="Palatino Linotype" w:cs="Arial"/>
          <w:b/>
          <w:bCs/>
          <w:i/>
          <w:iCs/>
          <w:color w:val="222222"/>
          <w:sz w:val="20"/>
          <w:szCs w:val="20"/>
          <w:lang w:val="es-MX" w:eastAsia="es-MX"/>
        </w:rPr>
        <w:t xml:space="preserve">Octavo. </w:t>
      </w:r>
      <w:r w:rsidRPr="001863D2">
        <w:rPr>
          <w:rFonts w:ascii="Palatino Linotype" w:hAnsi="Palatino Linotype" w:cs="Arial"/>
          <w:bCs/>
          <w:i/>
          <w:iCs/>
          <w:color w:val="222222"/>
          <w:sz w:val="20"/>
          <w:szCs w:val="20"/>
          <w:u w:val="single"/>
          <w:lang w:val="es-MX" w:eastAsia="es-MX"/>
        </w:rPr>
        <w:t>Para fundar la clasificación de la información se debe señalar el artícu</w:t>
      </w:r>
      <w:r>
        <w:rPr>
          <w:rFonts w:ascii="Palatino Linotype" w:hAnsi="Palatino Linotype" w:cs="Arial"/>
          <w:bCs/>
          <w:i/>
          <w:iCs/>
          <w:color w:val="222222"/>
          <w:sz w:val="20"/>
          <w:szCs w:val="20"/>
          <w:u w:val="single"/>
          <w:lang w:val="es-MX" w:eastAsia="es-MX"/>
        </w:rPr>
        <w:t xml:space="preserve">lo, fracción, inciso, párrafo o </w:t>
      </w:r>
      <w:r w:rsidRPr="001863D2">
        <w:rPr>
          <w:rFonts w:ascii="Palatino Linotype" w:hAnsi="Palatino Linotype" w:cs="Arial"/>
          <w:bCs/>
          <w:i/>
          <w:iCs/>
          <w:color w:val="222222"/>
          <w:sz w:val="20"/>
          <w:szCs w:val="20"/>
          <w:u w:val="single"/>
          <w:lang w:val="es-MX" w:eastAsia="es-MX"/>
        </w:rPr>
        <w:t>numeral de la ley o tratado internacional suscrito por el Estado mexican</w:t>
      </w:r>
      <w:r>
        <w:rPr>
          <w:rFonts w:ascii="Palatino Linotype" w:hAnsi="Palatino Linotype" w:cs="Arial"/>
          <w:bCs/>
          <w:i/>
          <w:iCs/>
          <w:color w:val="222222"/>
          <w:sz w:val="20"/>
          <w:szCs w:val="20"/>
          <w:u w:val="single"/>
          <w:lang w:val="es-MX" w:eastAsia="es-MX"/>
        </w:rPr>
        <w:t xml:space="preserve">o que expresamente le otorga el </w:t>
      </w:r>
      <w:r w:rsidRPr="001863D2">
        <w:rPr>
          <w:rFonts w:ascii="Palatino Linotype" w:hAnsi="Palatino Linotype" w:cs="Arial"/>
          <w:bCs/>
          <w:i/>
          <w:iCs/>
          <w:color w:val="222222"/>
          <w:sz w:val="20"/>
          <w:szCs w:val="20"/>
          <w:u w:val="single"/>
          <w:lang w:val="es-MX" w:eastAsia="es-MX"/>
        </w:rPr>
        <w:t>carácter de reservada o confidencial</w:t>
      </w:r>
      <w:r w:rsidRPr="001863D2">
        <w:rPr>
          <w:rFonts w:ascii="Palatino Linotype" w:hAnsi="Palatino Linotype" w:cs="Arial"/>
          <w:i/>
          <w:iCs/>
          <w:color w:val="222222"/>
          <w:sz w:val="20"/>
          <w:szCs w:val="20"/>
          <w:lang w:val="es-MX" w:eastAsia="es-MX"/>
        </w:rPr>
        <w:t>.</w:t>
      </w:r>
    </w:p>
    <w:p w:rsidR="00E7156F" w:rsidRDefault="00E7156F" w:rsidP="00E7156F">
      <w:pPr>
        <w:shd w:val="clear" w:color="auto" w:fill="FFFFFF"/>
        <w:spacing w:before="240" w:after="240"/>
        <w:ind w:left="567"/>
        <w:contextualSpacing/>
        <w:jc w:val="both"/>
        <w:rPr>
          <w:rFonts w:ascii="Palatino Linotype" w:hAnsi="Palatino Linotype" w:cs="Arial"/>
          <w:i/>
          <w:iCs/>
          <w:color w:val="222222"/>
          <w:sz w:val="20"/>
          <w:szCs w:val="20"/>
          <w:lang w:val="es-MX" w:eastAsia="es-MX"/>
        </w:rPr>
      </w:pPr>
      <w:r w:rsidRPr="001863D2">
        <w:rPr>
          <w:rFonts w:ascii="Palatino Linotype" w:hAnsi="Palatino Linotype" w:cs="Arial"/>
          <w:bCs/>
          <w:i/>
          <w:iCs/>
          <w:color w:val="222222"/>
          <w:sz w:val="20"/>
          <w:szCs w:val="20"/>
          <w:u w:val="single"/>
          <w:lang w:val="es-MX" w:eastAsia="es-MX"/>
        </w:rPr>
        <w:t>Para motivar la clasificación se deberán señalar las razones o circunstanci</w:t>
      </w:r>
      <w:r>
        <w:rPr>
          <w:rFonts w:ascii="Palatino Linotype" w:hAnsi="Palatino Linotype" w:cs="Arial"/>
          <w:bCs/>
          <w:i/>
          <w:iCs/>
          <w:color w:val="222222"/>
          <w:sz w:val="20"/>
          <w:szCs w:val="20"/>
          <w:u w:val="single"/>
          <w:lang w:val="es-MX" w:eastAsia="es-MX"/>
        </w:rPr>
        <w:t xml:space="preserve">as especiales que lo llevaron a </w:t>
      </w:r>
      <w:r w:rsidRPr="001863D2">
        <w:rPr>
          <w:rFonts w:ascii="Palatino Linotype" w:hAnsi="Palatino Linotype" w:cs="Arial"/>
          <w:bCs/>
          <w:i/>
          <w:iCs/>
          <w:color w:val="222222"/>
          <w:sz w:val="20"/>
          <w:szCs w:val="20"/>
          <w:u w:val="single"/>
          <w:lang w:val="es-MX" w:eastAsia="es-MX"/>
        </w:rPr>
        <w:t>concluir que el caso particular se ajusta al supuesto previsto por la norma legal invocada como fundamento</w:t>
      </w:r>
      <w:r>
        <w:rPr>
          <w:rFonts w:ascii="Palatino Linotype" w:hAnsi="Palatino Linotype" w:cs="Arial"/>
          <w:bCs/>
          <w:i/>
          <w:iCs/>
          <w:color w:val="222222"/>
          <w:sz w:val="20"/>
          <w:szCs w:val="20"/>
          <w:u w:val="single"/>
          <w:lang w:val="es-MX" w:eastAsia="es-MX"/>
        </w:rPr>
        <w:t>.</w:t>
      </w:r>
      <w:r>
        <w:rPr>
          <w:rFonts w:ascii="Palatino Linotype" w:hAnsi="Palatino Linotype" w:cs="Arial"/>
          <w:i/>
          <w:iCs/>
          <w:color w:val="222222"/>
          <w:sz w:val="20"/>
          <w:szCs w:val="20"/>
          <w:lang w:val="es-MX" w:eastAsia="es-MX"/>
        </w:rPr>
        <w:t>” (Sic)</w:t>
      </w:r>
    </w:p>
    <w:p w:rsidR="00E7156F" w:rsidRDefault="00E7156F" w:rsidP="00BA0E0F">
      <w:pPr>
        <w:spacing w:before="240" w:after="240" w:line="360" w:lineRule="auto"/>
        <w:jc w:val="both"/>
        <w:rPr>
          <w:rFonts w:ascii="Palatino Linotype" w:hAnsi="Palatino Linotype" w:cs="Arial"/>
        </w:rPr>
      </w:pP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rPr>
        <w:t>Por lo anteriormente expuesto y con fundamento en lo prescrito en los artículos 5 párrafos vigésimo, vigésimo primero y vigésimo segundo de la Constitución Política del Estado Libre y Soberano de México; 2, fracción II; 29, 36 fracciones I y II; 176, 178,</w:t>
      </w:r>
      <w:r w:rsidR="00E7156F">
        <w:rPr>
          <w:rFonts w:ascii="Palatino Linotype" w:hAnsi="Palatino Linotype" w:cs="Arial"/>
        </w:rPr>
        <w:t xml:space="preserve"> 179, fracción V,</w:t>
      </w:r>
      <w:r>
        <w:rPr>
          <w:rFonts w:ascii="Palatino Linotype" w:hAnsi="Palatino Linotype" w:cs="Arial"/>
        </w:rPr>
        <w:t xml:space="preserve"> 181, 185 y 186 fracción III de la Ley de Transparencia y Acceso a la Información Pública del Estado de México y Municipios, este Pleno:</w:t>
      </w:r>
    </w:p>
    <w:p w:rsidR="00BA0E0F" w:rsidRDefault="00BA0E0F" w:rsidP="00BA0E0F">
      <w:pPr>
        <w:pStyle w:val="Prrafodelista"/>
        <w:numPr>
          <w:ilvl w:val="0"/>
          <w:numId w:val="1"/>
        </w:numPr>
        <w:spacing w:before="240" w:after="240" w:line="360" w:lineRule="auto"/>
        <w:contextualSpacing/>
        <w:jc w:val="center"/>
        <w:rPr>
          <w:rFonts w:ascii="Palatino Linotype" w:hAnsi="Palatino Linotype" w:cs="Arial"/>
          <w:b/>
          <w:sz w:val="24"/>
          <w:szCs w:val="24"/>
        </w:rPr>
      </w:pPr>
      <w:r>
        <w:rPr>
          <w:rFonts w:ascii="Palatino Linotype" w:hAnsi="Palatino Linotype" w:cs="Arial"/>
          <w:b/>
          <w:sz w:val="24"/>
          <w:szCs w:val="24"/>
        </w:rPr>
        <w:t>R E S U E L V E:</w:t>
      </w:r>
    </w:p>
    <w:p w:rsidR="00BA0E0F" w:rsidRDefault="00BA0E0F" w:rsidP="00BA0E0F">
      <w:pPr>
        <w:spacing w:before="240" w:after="240" w:line="360" w:lineRule="auto"/>
        <w:jc w:val="both"/>
        <w:rPr>
          <w:rFonts w:ascii="Palatino Linotype" w:hAnsi="Palatino Linotype" w:cs="Arial"/>
        </w:rPr>
      </w:pPr>
      <w:r>
        <w:rPr>
          <w:rFonts w:ascii="Palatino Linotype" w:hAnsi="Palatino Linotype" w:cs="Arial"/>
          <w:b/>
        </w:rPr>
        <w:t xml:space="preserve">Primero. </w:t>
      </w:r>
      <w:r w:rsidR="00E7156F">
        <w:rPr>
          <w:rFonts w:ascii="Palatino Linotype" w:hAnsi="Palatino Linotype" w:cs="Arial"/>
          <w:lang w:val="es-ES_tradnl"/>
        </w:rPr>
        <w:t>Resultan</w:t>
      </w:r>
      <w:r w:rsidR="00AA613B">
        <w:rPr>
          <w:rFonts w:ascii="Palatino Linotype" w:hAnsi="Palatino Linotype" w:cs="Arial"/>
          <w:lang w:val="es-ES_tradnl"/>
        </w:rPr>
        <w:t xml:space="preserve"> </w:t>
      </w:r>
      <w:r>
        <w:rPr>
          <w:rFonts w:ascii="Palatino Linotype" w:hAnsi="Palatino Linotype" w:cs="Arial"/>
          <w:lang w:val="es-ES_tradnl"/>
        </w:rPr>
        <w:t xml:space="preserve">fundadas </w:t>
      </w:r>
      <w:r>
        <w:rPr>
          <w:rFonts w:ascii="Palatino Linotype" w:eastAsia="Arial Unicode MS" w:hAnsi="Palatino Linotype" w:cs="Arial"/>
        </w:rPr>
        <w:t xml:space="preserve">las razones o motivos de inconformidad hechos valer por el Recurrente, </w:t>
      </w:r>
      <w:r>
        <w:rPr>
          <w:rFonts w:ascii="Palatino Linotype" w:hAnsi="Palatino Linotype" w:cs="Arial"/>
          <w:lang w:val="es-MX" w:eastAsia="en-US"/>
        </w:rPr>
        <w:t xml:space="preserve">por lo que en términos del considerando </w:t>
      </w:r>
      <w:r>
        <w:rPr>
          <w:rFonts w:ascii="Palatino Linotype" w:hAnsi="Palatino Linotype" w:cs="Arial"/>
          <w:b/>
          <w:lang w:val="es-MX" w:eastAsia="en-US"/>
        </w:rPr>
        <w:t xml:space="preserve">Cuarto </w:t>
      </w:r>
      <w:r>
        <w:rPr>
          <w:rFonts w:ascii="Palatino Linotype" w:hAnsi="Palatino Linotype" w:cs="Arial"/>
          <w:lang w:val="es-MX" w:eastAsia="en-US"/>
        </w:rPr>
        <w:t xml:space="preserve">de esta resolución, se </w:t>
      </w:r>
      <w:r w:rsidR="00E7156F">
        <w:rPr>
          <w:rFonts w:ascii="Palatino Linotype" w:hAnsi="Palatino Linotype" w:cs="Arial"/>
          <w:b/>
          <w:lang w:val="es-MX" w:eastAsia="en-US"/>
        </w:rPr>
        <w:t>REVOCA</w:t>
      </w:r>
      <w:r>
        <w:rPr>
          <w:rFonts w:ascii="Palatino Linotype" w:hAnsi="Palatino Linotype" w:cs="Arial"/>
          <w:b/>
          <w:lang w:val="es-MX" w:eastAsia="en-US"/>
        </w:rPr>
        <w:t xml:space="preserve"> </w:t>
      </w:r>
      <w:r>
        <w:rPr>
          <w:rFonts w:ascii="Palatino Linotype" w:hAnsi="Palatino Linotype" w:cs="Arial"/>
          <w:lang w:val="es-MX" w:eastAsia="en-US"/>
        </w:rPr>
        <w:t>la respuesta emitida por el</w:t>
      </w:r>
      <w:r>
        <w:rPr>
          <w:rFonts w:ascii="Palatino Linotype" w:hAnsi="Palatino Linotype" w:cs="Arial"/>
          <w:bCs/>
          <w:lang w:val="es-MX" w:eastAsia="en-US"/>
        </w:rPr>
        <w:t xml:space="preserve"> Sujeto Obligado.</w:t>
      </w:r>
    </w:p>
    <w:p w:rsidR="00E7156F" w:rsidRDefault="00E7156F" w:rsidP="00E7156F">
      <w:pPr>
        <w:spacing w:before="240" w:after="240" w:line="360" w:lineRule="auto"/>
        <w:contextualSpacing/>
        <w:jc w:val="both"/>
        <w:rPr>
          <w:rFonts w:ascii="Palatino Linotype" w:hAnsi="Palatino Linotype"/>
        </w:rPr>
      </w:pPr>
      <w:r>
        <w:rPr>
          <w:rFonts w:ascii="Palatino Linotype" w:hAnsi="Palatino Linotype" w:cs="Arial"/>
          <w:b/>
          <w:bCs/>
          <w:lang w:val="es-MX" w:eastAsia="en-US"/>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Pr>
          <w:rFonts w:ascii="Palatino Linotype" w:hAnsi="Palatino Linotype"/>
        </w:rPr>
        <w:t>en términos de los Considerandos Cuarto y Quinto, haga entrega vía SAIMEX, en versión pública</w:t>
      </w:r>
      <w:r w:rsidRPr="00911351">
        <w:rPr>
          <w:rFonts w:ascii="Palatino Linotype" w:hAnsi="Palatino Linotype"/>
        </w:rPr>
        <w:t xml:space="preserve"> </w:t>
      </w:r>
      <w:r>
        <w:rPr>
          <w:rFonts w:ascii="Palatino Linotype" w:hAnsi="Palatino Linotype"/>
        </w:rPr>
        <w:t>del documento o documentos en donde conste lo siguiente</w:t>
      </w:r>
      <w:r w:rsidRPr="00911351">
        <w:rPr>
          <w:rFonts w:ascii="Palatino Linotype" w:hAnsi="Palatino Linotype"/>
        </w:rPr>
        <w:t>:</w:t>
      </w:r>
    </w:p>
    <w:p w:rsidR="00E7156F" w:rsidRPr="005C1591" w:rsidRDefault="00E7156F" w:rsidP="00E7156F">
      <w:pPr>
        <w:pStyle w:val="Prrafodelista"/>
        <w:numPr>
          <w:ilvl w:val="0"/>
          <w:numId w:val="10"/>
        </w:numPr>
        <w:spacing w:before="240" w:after="240" w:line="360" w:lineRule="auto"/>
        <w:jc w:val="both"/>
        <w:rPr>
          <w:rFonts w:ascii="Palatino Linotype" w:hAnsi="Palatino Linotype"/>
          <w:b/>
          <w:sz w:val="24"/>
          <w:szCs w:val="24"/>
          <w:lang w:val="es-MX" w:eastAsia="es-MX"/>
        </w:rPr>
      </w:pPr>
      <w:r w:rsidRPr="005C1591">
        <w:rPr>
          <w:rFonts w:ascii="Palatino Linotype" w:hAnsi="Palatino Linotype"/>
          <w:b/>
          <w:sz w:val="24"/>
          <w:szCs w:val="24"/>
          <w:lang w:val="es-MX" w:eastAsia="es-MX"/>
        </w:rPr>
        <w:lastRenderedPageBreak/>
        <w:t xml:space="preserve">El nombre, sueldo y salario bruto, los conceptos que forman parte del sobresueldo, compensaciones, horas extras, comisiones, apoyos escolares, vales, apoyos en </w:t>
      </w:r>
      <w:r w:rsidR="003C38F0">
        <w:rPr>
          <w:rFonts w:ascii="Palatino Linotype" w:hAnsi="Palatino Linotype"/>
          <w:b/>
          <w:sz w:val="24"/>
          <w:szCs w:val="24"/>
          <w:lang w:val="es-MX" w:eastAsia="es-MX"/>
        </w:rPr>
        <w:t>general, excedentes y similares; así como la</w:t>
      </w:r>
      <w:r w:rsidR="00E85C92">
        <w:rPr>
          <w:rFonts w:ascii="Palatino Linotype" w:hAnsi="Palatino Linotype"/>
          <w:b/>
          <w:sz w:val="24"/>
          <w:szCs w:val="24"/>
          <w:lang w:val="es-MX" w:eastAsia="es-MX"/>
        </w:rPr>
        <w:t xml:space="preserve"> lista de raya</w:t>
      </w:r>
      <w:r w:rsidRPr="005C1591">
        <w:rPr>
          <w:rFonts w:ascii="Palatino Linotype" w:hAnsi="Palatino Linotype"/>
          <w:b/>
          <w:sz w:val="24"/>
          <w:szCs w:val="24"/>
          <w:lang w:val="es-MX" w:eastAsia="es-MX"/>
        </w:rPr>
        <w:t xml:space="preserve"> </w:t>
      </w:r>
      <w:r w:rsidRPr="005C1591">
        <w:rPr>
          <w:rFonts w:ascii="Palatino Linotype" w:hAnsi="Palatino Linotype"/>
          <w:b/>
          <w:sz w:val="24"/>
          <w:szCs w:val="24"/>
        </w:rPr>
        <w:t>del periodo comprendido del primero al treinta y uno de marzo de dos mil dieciocho, de la totalidad de los servidores públicos.</w:t>
      </w:r>
    </w:p>
    <w:p w:rsidR="00E7156F" w:rsidRPr="00DD366A" w:rsidRDefault="00E7156F" w:rsidP="00E7156F">
      <w:pPr>
        <w:spacing w:before="240" w:after="240" w:line="360" w:lineRule="auto"/>
        <w:jc w:val="both"/>
        <w:rPr>
          <w:rFonts w:ascii="Palatino Linotype" w:hAnsi="Palatino Linotype"/>
        </w:rPr>
      </w:pPr>
      <w:r w:rsidRPr="00DD366A">
        <w:rPr>
          <w:rFonts w:ascii="Palatino Linotype" w:hAnsi="Palatino Linotype"/>
        </w:rPr>
        <w:t>Debiendo</w:t>
      </w:r>
      <w:r>
        <w:rPr>
          <w:rFonts w:ascii="Palatino Linotype" w:hAnsi="Palatino Linotype"/>
        </w:rPr>
        <w:t xml:space="preserve"> acompañar</w:t>
      </w:r>
      <w:r w:rsidRPr="00DD366A">
        <w:rPr>
          <w:rFonts w:ascii="Palatino Linotype" w:hAnsi="Palatino Linotype"/>
        </w:rPr>
        <w:t xml:space="preserve">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E7156F" w:rsidRPr="005C1591" w:rsidRDefault="00E7156F" w:rsidP="00E7156F">
      <w:pPr>
        <w:spacing w:before="240" w:after="240" w:line="360" w:lineRule="auto"/>
        <w:jc w:val="both"/>
        <w:rPr>
          <w:rFonts w:ascii="Palatino Linotype" w:hAnsi="Palatino Linotype"/>
          <w:b/>
        </w:rPr>
      </w:pPr>
      <w:r w:rsidRPr="005C1591">
        <w:rPr>
          <w:rFonts w:ascii="Palatino Linotype" w:hAnsi="Palatino Linotype"/>
        </w:rPr>
        <w:t>En el supuesto de que no se haya generado la información relati</w:t>
      </w:r>
      <w:r w:rsidR="003C38F0">
        <w:rPr>
          <w:rFonts w:ascii="Palatino Linotype" w:hAnsi="Palatino Linotype"/>
        </w:rPr>
        <w:t>va a la “Lista de Raya”, bastará</w:t>
      </w:r>
      <w:r w:rsidRPr="005C1591">
        <w:rPr>
          <w:rFonts w:ascii="Palatino Linotype" w:hAnsi="Palatino Linotype"/>
        </w:rPr>
        <w:t xml:space="preserve"> con el sólo pronunciamiento del </w:t>
      </w:r>
      <w:r w:rsidRPr="005C1591">
        <w:rPr>
          <w:rFonts w:ascii="Palatino Linotype" w:hAnsi="Palatino Linotype"/>
          <w:b/>
        </w:rPr>
        <w:t xml:space="preserve">Sujeto Obligado </w:t>
      </w:r>
      <w:r w:rsidRPr="005C1591">
        <w:rPr>
          <w:rFonts w:ascii="Palatino Linotype" w:hAnsi="Palatino Linotype"/>
        </w:rPr>
        <w:t xml:space="preserve">para tener por colmado el requerimiento de información, mismo que deberá hacer del conocimiento del </w:t>
      </w:r>
      <w:r w:rsidRPr="005C1591">
        <w:rPr>
          <w:rFonts w:ascii="Palatino Linotype" w:hAnsi="Palatino Linotype"/>
          <w:b/>
        </w:rPr>
        <w:t>Recurrente.</w:t>
      </w:r>
    </w:p>
    <w:p w:rsidR="00BA0E0F" w:rsidRDefault="00BA0E0F" w:rsidP="00E7156F">
      <w:pPr>
        <w:spacing w:before="240" w:after="240" w:line="360" w:lineRule="auto"/>
        <w:ind w:right="49"/>
        <w:jc w:val="both"/>
        <w:rPr>
          <w:rFonts w:ascii="Palatino Linotype" w:eastAsia="MS Mincho" w:hAnsi="Palatino Linotype"/>
          <w:shd w:val="clear" w:color="auto" w:fill="FFFFFF"/>
          <w:lang w:val="es-ES_tradnl"/>
        </w:rPr>
      </w:pPr>
      <w:r>
        <w:rPr>
          <w:rFonts w:ascii="Palatino Linotype" w:hAnsi="Palatino Linotype" w:cs="Arial"/>
          <w:b/>
          <w:bCs/>
          <w:shd w:val="clear" w:color="auto" w:fill="FFFFFF"/>
        </w:rPr>
        <w:t xml:space="preserve">Tercero. </w:t>
      </w:r>
      <w:r>
        <w:rPr>
          <w:rFonts w:ascii="Palatino Linotype" w:eastAsia="MS Mincho" w:hAnsi="Palatino Linotype" w:cs="Arial"/>
          <w:b/>
          <w:bCs/>
          <w:shd w:val="clear" w:color="auto" w:fill="FFFFFF"/>
          <w:lang w:val="es-ES_tradnl"/>
        </w:rPr>
        <w:t xml:space="preserve">Remítase </w:t>
      </w:r>
      <w:r>
        <w:rPr>
          <w:rFonts w:ascii="Palatino Linotype" w:hAnsi="Palatino Linotype" w:cs="Arial"/>
        </w:rPr>
        <w:t xml:space="preserve">la presente resolución, </w:t>
      </w:r>
      <w:r>
        <w:rPr>
          <w:rFonts w:ascii="Palatino Linotype" w:hAnsi="Palatino Linotype" w:cs="Arial"/>
          <w:lang w:val="es-MX"/>
        </w:rPr>
        <w:t>al Responsable de la Unidad de Transparencia del Sujeto Obligado</w:t>
      </w:r>
      <w:r>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A0E0F" w:rsidRDefault="00BA0E0F" w:rsidP="00BA0E0F">
      <w:pPr>
        <w:spacing w:before="240" w:after="240" w:line="360" w:lineRule="auto"/>
        <w:jc w:val="both"/>
        <w:rPr>
          <w:rFonts w:ascii="Palatino Linotype" w:hAnsi="Palatino Linotype"/>
        </w:rPr>
      </w:pPr>
      <w:r>
        <w:rPr>
          <w:rFonts w:ascii="Palatino Linotype" w:hAnsi="Palatino Linotype" w:cs="Arial"/>
          <w:b/>
        </w:rPr>
        <w:t>Cuarto. Hágase del conocimiento</w:t>
      </w:r>
      <w:r>
        <w:rPr>
          <w:rFonts w:ascii="Palatino Linotype" w:hAnsi="Palatino Linotype" w:cs="Arial"/>
        </w:rPr>
        <w:t xml:space="preserve"> del Recurrente</w:t>
      </w:r>
      <w:r>
        <w:rPr>
          <w:rFonts w:ascii="Palatino Linotype" w:hAnsi="Palatino Linotype" w:cs="Arial"/>
          <w:b/>
        </w:rPr>
        <w:t>,</w:t>
      </w:r>
      <w:r>
        <w:rPr>
          <w:rFonts w:ascii="Palatino Linotype" w:hAnsi="Palatino Linotype"/>
          <w:b/>
          <w:bCs/>
        </w:rPr>
        <w:t xml:space="preserve"> </w:t>
      </w:r>
      <w:r>
        <w:rPr>
          <w:rFonts w:ascii="Palatino Linotype" w:hAnsi="Palatino Linotype"/>
        </w:rPr>
        <w:t xml:space="preserve">la presente resolución, así como, que de conformidad con lo establecido en el artículo 196 de la Ley de Transparencia </w:t>
      </w:r>
      <w:r>
        <w:rPr>
          <w:rFonts w:ascii="Palatino Linotype" w:hAnsi="Palatino Linotype"/>
        </w:rPr>
        <w:lastRenderedPageBreak/>
        <w:t>y Acceso a la Información Pública del Estado de México y Municipios, en caso de que considere que le causa algún perjuicio podrá impugnarla vía Juicio de Amparo en los términos de las leyes aplicables.</w:t>
      </w:r>
    </w:p>
    <w:p w:rsidR="00DF41BD" w:rsidRDefault="00DF41BD" w:rsidP="00DF41BD">
      <w:pPr>
        <w:spacing w:before="240" w:after="240" w:line="360" w:lineRule="auto"/>
        <w:contextualSpacing/>
        <w:jc w:val="both"/>
        <w:rPr>
          <w:rFonts w:ascii="Palatino Linotype" w:hAnsi="Palatino Linotype"/>
        </w:rPr>
      </w:pPr>
      <w:r>
        <w:rPr>
          <w:rFonts w:ascii="Palatino Linotype" w:hAnsi="Palatino Linotype"/>
          <w:b/>
        </w:rPr>
        <w:t>Quinto</w:t>
      </w:r>
      <w:r>
        <w:rPr>
          <w:rFonts w:ascii="Palatino Linotype" w:hAnsi="Palatino Linotype"/>
          <w:b/>
          <w:sz w:val="28"/>
          <w:szCs w:val="25"/>
        </w:rPr>
        <w:t xml:space="preserve">. </w:t>
      </w:r>
      <w:r>
        <w:rPr>
          <w:rFonts w:ascii="Palatino Linotype" w:hAnsi="Palatino Linotype"/>
          <w:b/>
          <w:szCs w:val="25"/>
        </w:rPr>
        <w:t>Gírese</w:t>
      </w:r>
      <w:r>
        <w:rPr>
          <w:rFonts w:ascii="Palatino Linotype" w:hAnsi="Palatino Linotype"/>
        </w:rPr>
        <w:t xml:space="preserve"> oficio al Contralor Interno de este Instituto para que actúe en razón de su competencia, en términos de lo expuesto en el Considerando Cuarto de la presente resolución.</w:t>
      </w:r>
    </w:p>
    <w:p w:rsidR="00DF41BD" w:rsidRDefault="00DF41BD" w:rsidP="00BA0E0F">
      <w:pPr>
        <w:spacing w:before="240" w:after="240" w:line="360" w:lineRule="auto"/>
        <w:contextualSpacing/>
        <w:jc w:val="both"/>
        <w:rPr>
          <w:rFonts w:ascii="Palatino Linotype" w:hAnsi="Palatino Linotype"/>
        </w:rPr>
      </w:pPr>
    </w:p>
    <w:p w:rsidR="00BA0E0F" w:rsidRDefault="00BA0E0F" w:rsidP="00BA0E0F">
      <w:pPr>
        <w:spacing w:before="240" w:after="240" w:line="360" w:lineRule="auto"/>
        <w:contextualSpacing/>
        <w:jc w:val="both"/>
        <w:rPr>
          <w:rFonts w:ascii="Palatino Linotype" w:hAnsi="Palatino Linotype" w:cs="Arial"/>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0E0E43">
        <w:rPr>
          <w:rFonts w:ascii="Palatino Linotype" w:hAnsi="Palatino Linotype"/>
        </w:rPr>
        <w:t>JOSÉ GUADALUPE LUNA HERNÁNDEZ</w:t>
      </w:r>
      <w:r w:rsidR="00580FF6">
        <w:rPr>
          <w:rFonts w:ascii="Palatino Linotype" w:hAnsi="Palatino Linotype"/>
        </w:rPr>
        <w:t xml:space="preserve"> EMITIENDO VOTO PARTICULAR,</w:t>
      </w:r>
      <w:r w:rsidR="000E0E43">
        <w:rPr>
          <w:rFonts w:ascii="Palatino Linotype" w:hAnsi="Palatino Linotype"/>
        </w:rPr>
        <w:t xml:space="preserve"> </w:t>
      </w:r>
      <w:r>
        <w:rPr>
          <w:rFonts w:ascii="Palatino Linotype" w:hAnsi="Palatino Linotype"/>
        </w:rPr>
        <w:t>JAVIER MARTÍNEZ CRUZ</w:t>
      </w:r>
      <w:r w:rsidR="000E0E43">
        <w:rPr>
          <w:rFonts w:ascii="Palatino Linotype" w:hAnsi="Palatino Linotype"/>
        </w:rPr>
        <w:t xml:space="preserve"> Y LUIS GUSTAVO PARRA NORIEGA</w:t>
      </w:r>
      <w:r>
        <w:rPr>
          <w:rFonts w:ascii="Palatino Linotype" w:hAnsi="Palatino Linotype"/>
        </w:rPr>
        <w:t xml:space="preserve">; EN LA </w:t>
      </w:r>
      <w:r w:rsidR="00277A88">
        <w:rPr>
          <w:rFonts w:ascii="Palatino Linotype" w:hAnsi="Palatino Linotype"/>
        </w:rPr>
        <w:t>PRIMERA</w:t>
      </w:r>
      <w:r w:rsidR="00E7156F">
        <w:rPr>
          <w:rFonts w:ascii="Palatino Linotype" w:hAnsi="Palatino Linotype"/>
        </w:rPr>
        <w:t xml:space="preserve"> </w:t>
      </w:r>
      <w:r>
        <w:rPr>
          <w:rFonts w:ascii="Palatino Linotype" w:hAnsi="Palatino Linotype"/>
        </w:rPr>
        <w:t xml:space="preserve">SESIÓN ORDINARIA CELEBRADA EL </w:t>
      </w:r>
      <w:r w:rsidR="00277A88">
        <w:rPr>
          <w:rFonts w:ascii="Palatino Linotype" w:hAnsi="Palatino Linotype"/>
        </w:rPr>
        <w:t>NUEVE DE ENERO</w:t>
      </w:r>
      <w:r w:rsidR="000E0E43">
        <w:rPr>
          <w:rFonts w:ascii="Palatino Linotype" w:hAnsi="Palatino Linotype"/>
        </w:rPr>
        <w:t xml:space="preserve"> </w:t>
      </w:r>
      <w:r w:rsidR="00277A88">
        <w:rPr>
          <w:rFonts w:ascii="Palatino Linotype" w:hAnsi="Palatino Linotype"/>
        </w:rPr>
        <w:t>DE DOS MIL DIECINUEVE</w:t>
      </w:r>
      <w:r>
        <w:rPr>
          <w:rFonts w:ascii="Palatino Linotype" w:hAnsi="Palatino Linotype"/>
        </w:rPr>
        <w:t>, ANTE EL SECRETARIO TÉCNICO DEL PLENO ALEXIS TAPIA RAMÍREZ.</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BA0E0F" w:rsidTr="00BA0E0F">
        <w:trPr>
          <w:trHeight w:val="1483"/>
        </w:trPr>
        <w:tc>
          <w:tcPr>
            <w:tcW w:w="8838" w:type="dxa"/>
            <w:gridSpan w:val="2"/>
          </w:tcPr>
          <w:p w:rsidR="00BA0E0F" w:rsidRDefault="00BA0E0F">
            <w:pPr>
              <w:jc w:val="center"/>
              <w:rPr>
                <w:rFonts w:ascii="Palatino Linotype" w:hAnsi="Palatino Linotype"/>
                <w:b/>
              </w:rPr>
            </w:pPr>
          </w:p>
          <w:p w:rsidR="00BA0E0F" w:rsidRDefault="00BA0E0F">
            <w:pPr>
              <w:jc w:val="center"/>
              <w:rPr>
                <w:rFonts w:ascii="Palatino Linotype" w:hAnsi="Palatino Linotype"/>
                <w:b/>
              </w:rPr>
            </w:pPr>
          </w:p>
          <w:p w:rsidR="00BA0E0F" w:rsidRDefault="00BA0E0F">
            <w:pPr>
              <w:jc w:val="center"/>
              <w:rPr>
                <w:rFonts w:ascii="Palatino Linotype" w:hAnsi="Palatino Linotype"/>
                <w:b/>
              </w:rPr>
            </w:pPr>
          </w:p>
          <w:p w:rsidR="00997257" w:rsidRDefault="00997257">
            <w:pPr>
              <w:jc w:val="center"/>
              <w:rPr>
                <w:rFonts w:ascii="Palatino Linotype" w:hAnsi="Palatino Linotype"/>
                <w:b/>
              </w:rPr>
            </w:pPr>
          </w:p>
          <w:p w:rsidR="00BA0E0F" w:rsidRDefault="00BA0E0F">
            <w:pPr>
              <w:jc w:val="center"/>
              <w:rPr>
                <w:rFonts w:ascii="Palatino Linotype" w:hAnsi="Palatino Linotype"/>
                <w:b/>
              </w:rPr>
            </w:pPr>
            <w:r>
              <w:rPr>
                <w:rFonts w:ascii="Palatino Linotype" w:hAnsi="Palatino Linotype" w:cs="Arial"/>
                <w:b/>
              </w:rPr>
              <w:t>Zulema Martínez Sánchez</w:t>
            </w:r>
          </w:p>
          <w:p w:rsidR="00BA0E0F" w:rsidRDefault="00BA0E0F">
            <w:pPr>
              <w:jc w:val="center"/>
              <w:rPr>
                <w:rFonts w:ascii="Palatino Linotype" w:hAnsi="Palatino Linotype"/>
              </w:rPr>
            </w:pPr>
            <w:r>
              <w:rPr>
                <w:rFonts w:ascii="Palatino Linotype" w:hAnsi="Palatino Linotype"/>
              </w:rPr>
              <w:t>Comisionada Presidenta</w:t>
            </w:r>
          </w:p>
          <w:p w:rsidR="00BA0E0F" w:rsidRDefault="00BA0E0F">
            <w:pPr>
              <w:jc w:val="center"/>
              <w:rPr>
                <w:rFonts w:ascii="Palatino Linotype" w:hAnsi="Palatino Linotype"/>
              </w:rPr>
            </w:pPr>
            <w:r>
              <w:rPr>
                <w:rFonts w:ascii="Palatino Linotype" w:hAnsi="Palatino Linotype"/>
              </w:rPr>
              <w:t>(Rúbrica)</w:t>
            </w:r>
          </w:p>
        </w:tc>
      </w:tr>
      <w:tr w:rsidR="000E0E43" w:rsidTr="004D30AA">
        <w:trPr>
          <w:trHeight w:val="1833"/>
        </w:trPr>
        <w:tc>
          <w:tcPr>
            <w:tcW w:w="4419" w:type="dxa"/>
            <w:vAlign w:val="center"/>
          </w:tcPr>
          <w:p w:rsidR="000E0E43" w:rsidRDefault="000E0E43" w:rsidP="000E0E43">
            <w:pPr>
              <w:jc w:val="center"/>
              <w:rPr>
                <w:rFonts w:ascii="Palatino Linotype" w:hAnsi="Palatino Linotype"/>
                <w:b/>
                <w:sz w:val="25"/>
                <w:szCs w:val="25"/>
              </w:rPr>
            </w:pPr>
          </w:p>
          <w:p w:rsidR="000E0E43" w:rsidRDefault="000E0E43" w:rsidP="000E0E43">
            <w:pPr>
              <w:jc w:val="center"/>
              <w:rPr>
                <w:rFonts w:ascii="Palatino Linotype" w:hAnsi="Palatino Linotype"/>
                <w:b/>
                <w:sz w:val="25"/>
                <w:szCs w:val="25"/>
              </w:rPr>
            </w:pPr>
          </w:p>
          <w:p w:rsidR="000E0E43" w:rsidRDefault="000E0E43" w:rsidP="000E0E43">
            <w:pPr>
              <w:jc w:val="center"/>
              <w:rPr>
                <w:rFonts w:ascii="Palatino Linotype" w:hAnsi="Palatino Linotype"/>
                <w:b/>
                <w:sz w:val="25"/>
                <w:szCs w:val="25"/>
              </w:rPr>
            </w:pPr>
          </w:p>
          <w:p w:rsidR="000E0E43" w:rsidRDefault="000E0E43" w:rsidP="000E0E43">
            <w:pPr>
              <w:jc w:val="center"/>
              <w:rPr>
                <w:rFonts w:ascii="Palatino Linotype" w:hAnsi="Palatino Linotype"/>
                <w:b/>
                <w:sz w:val="25"/>
                <w:szCs w:val="25"/>
              </w:rPr>
            </w:pPr>
          </w:p>
          <w:p w:rsidR="000E0E43" w:rsidRDefault="000E0E43" w:rsidP="000E0E43">
            <w:pPr>
              <w:jc w:val="center"/>
              <w:rPr>
                <w:rFonts w:ascii="Palatino Linotype" w:hAnsi="Palatino Linotype"/>
                <w:b/>
                <w:sz w:val="25"/>
                <w:szCs w:val="25"/>
              </w:rPr>
            </w:pPr>
            <w:r>
              <w:rPr>
                <w:rFonts w:ascii="Palatino Linotype" w:hAnsi="Palatino Linotype"/>
                <w:b/>
                <w:sz w:val="25"/>
                <w:szCs w:val="25"/>
              </w:rPr>
              <w:t>Eva Abaid Yapur</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Comisionada</w:t>
            </w:r>
          </w:p>
          <w:p w:rsidR="000E0E43" w:rsidRDefault="000E0E43" w:rsidP="000E0E43">
            <w:pPr>
              <w:jc w:val="center"/>
              <w:rPr>
                <w:rFonts w:ascii="Palatino Linotype" w:hAnsi="Palatino Linotype"/>
                <w:sz w:val="25"/>
                <w:szCs w:val="25"/>
              </w:rPr>
            </w:pPr>
            <w:r>
              <w:rPr>
                <w:rFonts w:ascii="Palatino Linotype" w:hAnsi="Palatino Linotype"/>
                <w:sz w:val="25"/>
                <w:szCs w:val="25"/>
              </w:rPr>
              <w:t>(Rúbrica)</w:t>
            </w: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1F02E2" w:rsidRDefault="001F02E2"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b/>
                <w:sz w:val="25"/>
                <w:szCs w:val="25"/>
              </w:rPr>
            </w:pPr>
            <w:r>
              <w:rPr>
                <w:rFonts w:ascii="Palatino Linotype" w:hAnsi="Palatino Linotype"/>
                <w:b/>
                <w:sz w:val="25"/>
                <w:szCs w:val="25"/>
              </w:rPr>
              <w:t>Javier Martínez Cruz</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Comisionado</w:t>
            </w:r>
          </w:p>
          <w:p w:rsidR="000E0E43" w:rsidRDefault="000E0E43" w:rsidP="000E0E43">
            <w:pPr>
              <w:jc w:val="center"/>
              <w:rPr>
                <w:rFonts w:ascii="Palatino Linotype" w:hAnsi="Palatino Linotype"/>
              </w:rPr>
            </w:pPr>
            <w:r>
              <w:rPr>
                <w:rFonts w:ascii="Palatino Linotype" w:hAnsi="Palatino Linotype"/>
                <w:sz w:val="25"/>
                <w:szCs w:val="25"/>
              </w:rPr>
              <w:t>(Rúbrica)</w:t>
            </w:r>
          </w:p>
        </w:tc>
        <w:tc>
          <w:tcPr>
            <w:tcW w:w="4419" w:type="dxa"/>
            <w:vAlign w:val="center"/>
          </w:tcPr>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cs="Arial"/>
                <w:b/>
                <w:sz w:val="25"/>
                <w:szCs w:val="25"/>
              </w:rPr>
            </w:pPr>
          </w:p>
          <w:p w:rsidR="000E0E43" w:rsidRDefault="000E0E43" w:rsidP="000E0E43">
            <w:pPr>
              <w:jc w:val="center"/>
              <w:rPr>
                <w:rFonts w:ascii="Palatino Linotype" w:hAnsi="Palatino Linotype"/>
                <w:b/>
                <w:sz w:val="25"/>
                <w:szCs w:val="25"/>
              </w:rPr>
            </w:pPr>
            <w:r>
              <w:rPr>
                <w:rFonts w:ascii="Palatino Linotype" w:hAnsi="Palatino Linotype" w:cs="Arial"/>
                <w:b/>
                <w:sz w:val="25"/>
                <w:szCs w:val="25"/>
              </w:rPr>
              <w:t>José Guadalupe Luna Hernández</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Comisionado</w:t>
            </w:r>
          </w:p>
          <w:p w:rsidR="000E0E43" w:rsidRDefault="000E0E43" w:rsidP="000E0E43">
            <w:pPr>
              <w:jc w:val="center"/>
              <w:rPr>
                <w:rFonts w:ascii="Palatino Linotype" w:hAnsi="Palatino Linotype"/>
                <w:sz w:val="25"/>
                <w:szCs w:val="25"/>
              </w:rPr>
            </w:pPr>
            <w:r>
              <w:rPr>
                <w:rFonts w:ascii="Palatino Linotype" w:hAnsi="Palatino Linotype"/>
                <w:sz w:val="25"/>
                <w:szCs w:val="25"/>
              </w:rPr>
              <w:t>(Rúbrica)</w:t>
            </w: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1F02E2" w:rsidRDefault="001F02E2" w:rsidP="000E0E43">
            <w:pPr>
              <w:jc w:val="center"/>
              <w:rPr>
                <w:rFonts w:ascii="Palatino Linotype" w:hAnsi="Palatino Linotype"/>
                <w:sz w:val="25"/>
                <w:szCs w:val="25"/>
              </w:rPr>
            </w:pPr>
          </w:p>
          <w:p w:rsidR="000E0E43" w:rsidRDefault="000E0E43" w:rsidP="000E0E43">
            <w:pPr>
              <w:jc w:val="center"/>
              <w:rPr>
                <w:rFonts w:ascii="Palatino Linotype" w:hAnsi="Palatino Linotype"/>
                <w:sz w:val="25"/>
                <w:szCs w:val="25"/>
              </w:rPr>
            </w:pPr>
          </w:p>
          <w:p w:rsidR="000E0E43" w:rsidRDefault="000E0E43" w:rsidP="000E0E43">
            <w:pPr>
              <w:jc w:val="center"/>
              <w:rPr>
                <w:rFonts w:ascii="Palatino Linotype" w:hAnsi="Palatino Linotype"/>
                <w:b/>
                <w:sz w:val="25"/>
                <w:szCs w:val="25"/>
              </w:rPr>
            </w:pPr>
            <w:r>
              <w:rPr>
                <w:rFonts w:ascii="Palatino Linotype" w:hAnsi="Palatino Linotype"/>
                <w:b/>
                <w:sz w:val="25"/>
                <w:szCs w:val="25"/>
              </w:rPr>
              <w:t>Luis Gustavo Parra Noriega</w:t>
            </w:r>
          </w:p>
          <w:p w:rsidR="000E0E43" w:rsidRDefault="000E0E43" w:rsidP="000E0E43">
            <w:pPr>
              <w:jc w:val="center"/>
              <w:rPr>
                <w:rFonts w:ascii="Palatino Linotype" w:hAnsi="Palatino Linotype"/>
                <w:sz w:val="25"/>
                <w:szCs w:val="25"/>
              </w:rPr>
            </w:pPr>
            <w:r>
              <w:rPr>
                <w:rFonts w:ascii="Palatino Linotype" w:hAnsi="Palatino Linotype"/>
                <w:sz w:val="25"/>
                <w:szCs w:val="25"/>
              </w:rPr>
              <w:t>Comisionado</w:t>
            </w:r>
          </w:p>
          <w:p w:rsidR="000E0E43" w:rsidRDefault="000E0E43" w:rsidP="000E0E43">
            <w:pPr>
              <w:jc w:val="center"/>
              <w:rPr>
                <w:rFonts w:ascii="Palatino Linotype" w:hAnsi="Palatino Linotype"/>
              </w:rPr>
            </w:pPr>
            <w:r>
              <w:rPr>
                <w:rFonts w:ascii="Palatino Linotype" w:hAnsi="Palatino Linotype"/>
                <w:sz w:val="25"/>
                <w:szCs w:val="25"/>
              </w:rPr>
              <w:t>(Rúbrica)</w:t>
            </w:r>
          </w:p>
        </w:tc>
      </w:tr>
      <w:tr w:rsidR="00BA0E0F" w:rsidTr="00BA0E0F">
        <w:trPr>
          <w:trHeight w:val="776"/>
        </w:trPr>
        <w:tc>
          <w:tcPr>
            <w:tcW w:w="8838" w:type="dxa"/>
            <w:gridSpan w:val="2"/>
          </w:tcPr>
          <w:p w:rsidR="000E0E43" w:rsidRDefault="000E0E43">
            <w:pPr>
              <w:jc w:val="center"/>
              <w:rPr>
                <w:rFonts w:ascii="Palatino Linotype" w:hAnsi="Palatino Linotype" w:cs="Arial"/>
                <w:b/>
              </w:rPr>
            </w:pPr>
          </w:p>
          <w:p w:rsidR="001F02E2" w:rsidRDefault="001F02E2">
            <w:pPr>
              <w:jc w:val="center"/>
              <w:rPr>
                <w:rFonts w:ascii="Palatino Linotype" w:hAnsi="Palatino Linotype" w:cs="Arial"/>
                <w:b/>
              </w:rPr>
            </w:pPr>
          </w:p>
          <w:p w:rsidR="000E0E43" w:rsidRDefault="000E0E43">
            <w:pPr>
              <w:jc w:val="center"/>
              <w:rPr>
                <w:rFonts w:ascii="Palatino Linotype" w:hAnsi="Palatino Linotype" w:cs="Arial"/>
                <w:b/>
              </w:rPr>
            </w:pPr>
          </w:p>
          <w:p w:rsidR="000E0E43" w:rsidRDefault="000E0E43">
            <w:pPr>
              <w:jc w:val="center"/>
              <w:rPr>
                <w:rFonts w:ascii="Palatino Linotype" w:hAnsi="Palatino Linotype" w:cs="Arial"/>
                <w:b/>
              </w:rPr>
            </w:pPr>
          </w:p>
          <w:p w:rsidR="00BA0E0F" w:rsidRDefault="00BA0E0F">
            <w:pPr>
              <w:jc w:val="center"/>
              <w:rPr>
                <w:rFonts w:ascii="Palatino Linotype" w:hAnsi="Palatino Linotype"/>
                <w:b/>
              </w:rPr>
            </w:pPr>
            <w:r>
              <w:rPr>
                <w:rFonts w:ascii="Palatino Linotype" w:hAnsi="Palatino Linotype" w:cs="Arial"/>
                <w:b/>
              </w:rPr>
              <w:t>Alexis Tapia Ramírez</w:t>
            </w:r>
          </w:p>
          <w:p w:rsidR="00BA0E0F" w:rsidRDefault="00BA0E0F">
            <w:pPr>
              <w:jc w:val="center"/>
              <w:rPr>
                <w:rFonts w:ascii="Palatino Linotype" w:hAnsi="Palatino Linotype"/>
              </w:rPr>
            </w:pPr>
            <w:r>
              <w:rPr>
                <w:rFonts w:ascii="Palatino Linotype" w:hAnsi="Palatino Linotype"/>
              </w:rPr>
              <w:t>Secretario Técnico del Pleno</w:t>
            </w:r>
          </w:p>
          <w:p w:rsidR="00BA0E0F" w:rsidRDefault="00F10632">
            <w:pPr>
              <w:jc w:val="center"/>
              <w:rPr>
                <w:rFonts w:ascii="Palatino Linotype" w:hAnsi="Palatino Linotype"/>
              </w:rPr>
            </w:pPr>
            <w:r>
              <w:rPr>
                <w:rFonts w:ascii="Palatino Linotype" w:hAnsi="Palatino Linotype"/>
              </w:rPr>
              <w:t>(Rúbrica)</w:t>
            </w:r>
          </w:p>
          <w:p w:rsidR="00BA0E0F" w:rsidRDefault="00BA0E0F">
            <w:pPr>
              <w:jc w:val="center"/>
              <w:rPr>
                <w:rFonts w:ascii="Palatino Linotype" w:hAnsi="Palatino Linotype"/>
              </w:rPr>
            </w:pPr>
          </w:p>
        </w:tc>
      </w:tr>
    </w:tbl>
    <w:p w:rsidR="00E9188C" w:rsidRPr="00E7156F" w:rsidRDefault="00BA0E0F" w:rsidP="00610B29">
      <w:pPr>
        <w:jc w:val="both"/>
        <w:rPr>
          <w:sz w:val="20"/>
          <w:szCs w:val="20"/>
        </w:rPr>
      </w:pPr>
      <w:r w:rsidRPr="00E7156F">
        <w:rPr>
          <w:rFonts w:ascii="Palatino Linotype" w:hAnsi="Palatino Linotype" w:cs="Arial"/>
          <w:sz w:val="20"/>
          <w:szCs w:val="20"/>
        </w:rPr>
        <w:t>Esta hoja cor</w:t>
      </w:r>
      <w:r w:rsidR="000E0E43" w:rsidRPr="00E7156F">
        <w:rPr>
          <w:rFonts w:ascii="Palatino Linotype" w:hAnsi="Palatino Linotype" w:cs="Arial"/>
          <w:sz w:val="20"/>
          <w:szCs w:val="20"/>
        </w:rPr>
        <w:t>resp</w:t>
      </w:r>
      <w:r w:rsidR="00543A42" w:rsidRPr="00E7156F">
        <w:rPr>
          <w:rFonts w:ascii="Palatino Linotype" w:hAnsi="Palatino Linotype" w:cs="Arial"/>
          <w:sz w:val="20"/>
          <w:szCs w:val="20"/>
        </w:rPr>
        <w:t>on</w:t>
      </w:r>
      <w:r w:rsidR="00277A88">
        <w:rPr>
          <w:rFonts w:ascii="Palatino Linotype" w:hAnsi="Palatino Linotype" w:cs="Arial"/>
          <w:sz w:val="20"/>
          <w:szCs w:val="20"/>
        </w:rPr>
        <w:t>de a resolución del nueve de enero de dos mil diecinueve</w:t>
      </w:r>
      <w:r w:rsidRPr="00E7156F">
        <w:rPr>
          <w:rFonts w:ascii="Palatino Linotype" w:hAnsi="Palatino Linotype" w:cs="Arial"/>
          <w:sz w:val="20"/>
          <w:szCs w:val="20"/>
        </w:rPr>
        <w:t xml:space="preserve">, emitida en el recurso de revisión </w:t>
      </w:r>
      <w:r w:rsidR="00E7156F">
        <w:rPr>
          <w:rFonts w:ascii="Palatino Linotype" w:hAnsi="Palatino Linotype" w:cs="Arial"/>
          <w:b/>
          <w:bCs/>
          <w:sz w:val="20"/>
          <w:szCs w:val="20"/>
        </w:rPr>
        <w:t>03899</w:t>
      </w:r>
      <w:r w:rsidRPr="00E7156F">
        <w:rPr>
          <w:rFonts w:ascii="Palatino Linotype" w:hAnsi="Palatino Linotype" w:cs="Arial"/>
          <w:b/>
          <w:bCs/>
          <w:sz w:val="20"/>
          <w:szCs w:val="20"/>
        </w:rPr>
        <w:t>/INFOEM/IP/RR/2018</w:t>
      </w:r>
      <w:r w:rsidRPr="00E7156F">
        <w:rPr>
          <w:rFonts w:ascii="Palatino Linotype" w:hAnsi="Palatino Linotype" w:cs="Arial"/>
          <w:sz w:val="20"/>
          <w:szCs w:val="20"/>
        </w:rPr>
        <w:t>.</w:t>
      </w:r>
    </w:p>
    <w:sectPr w:rsidR="00E9188C" w:rsidRPr="00E7156F" w:rsidSect="00546029">
      <w:headerReference w:type="default" r:id="rId17"/>
      <w:footerReference w:type="default" r:id="rId18"/>
      <w:headerReference w:type="first" r:id="rId19"/>
      <w:footerReference w:type="first" r:id="rId20"/>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0F8" w:rsidRDefault="00E110F8" w:rsidP="00BA0E0F">
      <w:r>
        <w:separator/>
      </w:r>
    </w:p>
  </w:endnote>
  <w:endnote w:type="continuationSeparator" w:id="0">
    <w:p w:rsidR="00E110F8" w:rsidRDefault="00E110F8" w:rsidP="00BA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2A0" w:rsidRDefault="00D202A0" w:rsidP="00BA0E0F">
    <w:pPr>
      <w:pStyle w:val="Piedepgina"/>
      <w:jc w:val="right"/>
      <w:rPr>
        <w:rFonts w:ascii="Palatino Linotype" w:hAnsi="Palatino Linotype" w:cs="Arial"/>
        <w:b/>
        <w:bCs/>
        <w:sz w:val="20"/>
        <w:szCs w:val="20"/>
      </w:rPr>
    </w:pPr>
  </w:p>
  <w:p w:rsidR="00D202A0" w:rsidRPr="00F12350" w:rsidRDefault="00D202A0" w:rsidP="00BA0E0F">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E107F">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E107F">
      <w:rPr>
        <w:rFonts w:ascii="Palatino Linotype" w:hAnsi="Palatino Linotype" w:cs="Arial"/>
        <w:b/>
        <w:bCs/>
        <w:noProof/>
        <w:sz w:val="20"/>
        <w:szCs w:val="20"/>
      </w:rPr>
      <w:t>39</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2A0" w:rsidRPr="00F12350" w:rsidRDefault="00D202A0" w:rsidP="00164958">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E107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E107F">
      <w:rPr>
        <w:rFonts w:ascii="Palatino Linotype" w:hAnsi="Palatino Linotype" w:cs="Arial"/>
        <w:b/>
        <w:bCs/>
        <w:noProof/>
        <w:sz w:val="20"/>
        <w:szCs w:val="20"/>
      </w:rPr>
      <w:t>39</w:t>
    </w:r>
    <w:r w:rsidRPr="00F12350">
      <w:rPr>
        <w:rFonts w:ascii="Palatino Linotype" w:hAnsi="Palatino Linotype" w:cs="Arial"/>
        <w:b/>
        <w:bCs/>
        <w:sz w:val="20"/>
        <w:szCs w:val="20"/>
      </w:rPr>
      <w:fldChar w:fldCharType="end"/>
    </w:r>
  </w:p>
  <w:p w:rsidR="00D202A0" w:rsidRDefault="00D202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0F8" w:rsidRDefault="00E110F8" w:rsidP="00BA0E0F">
      <w:r>
        <w:separator/>
      </w:r>
    </w:p>
  </w:footnote>
  <w:footnote w:type="continuationSeparator" w:id="0">
    <w:p w:rsidR="00E110F8" w:rsidRDefault="00E110F8" w:rsidP="00BA0E0F">
      <w:r>
        <w:continuationSeparator/>
      </w:r>
    </w:p>
  </w:footnote>
  <w:footnote w:id="1">
    <w:p w:rsidR="00D202A0" w:rsidRDefault="00D202A0" w:rsidP="00D202A0">
      <w:pPr>
        <w:pStyle w:val="Textonotapie"/>
        <w:jc w:val="both"/>
        <w:rPr>
          <w:sz w:val="16"/>
          <w:szCs w:val="16"/>
        </w:rPr>
      </w:pPr>
      <w:r>
        <w:rPr>
          <w:rStyle w:val="Refdenotaalpie"/>
        </w:rPr>
        <w:footnoteRef/>
      </w:r>
      <w:r>
        <w:t xml:space="preserve"> </w:t>
      </w:r>
      <w:r>
        <w:rPr>
          <w:rFonts w:ascii="Palatino Linotype" w:hAnsi="Palatino Linotype"/>
          <w:sz w:val="18"/>
          <w:szCs w:val="18"/>
        </w:rPr>
        <w:t>“L</w:t>
      </w:r>
      <w:r>
        <w:rPr>
          <w:rFonts w:ascii="Palatino Linotype" w:hAnsi="Palatino Linotype"/>
          <w:b/>
          <w:sz w:val="16"/>
          <w:szCs w:val="16"/>
        </w:rPr>
        <w:t>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Pr>
          <w:rFonts w:ascii="Palatino Linotype" w:hAnsi="Palatino Linotype"/>
          <w:sz w:val="16"/>
          <w:szCs w:val="16"/>
        </w:rPr>
        <w:t xml:space="preserve">; sin embargo, como en todo caso, es la situación específica la que orienta la naturaleza de los servicios prestados si un trabajador incluido en una lista de raya demanda su </w:t>
      </w:r>
      <w:proofErr w:type="spellStart"/>
      <w:r>
        <w:rPr>
          <w:rFonts w:ascii="Palatino Linotype" w:hAnsi="Palatino Linotype"/>
          <w:sz w:val="16"/>
          <w:szCs w:val="16"/>
        </w:rPr>
        <w:t>recategorización</w:t>
      </w:r>
      <w:proofErr w:type="spellEnd"/>
      <w:r>
        <w:rPr>
          <w:rFonts w:ascii="Palatino Linotype" w:hAnsi="Palatino Linotype"/>
          <w:sz w:val="16"/>
          <w:szCs w:val="16"/>
        </w:rPr>
        <w:t xml:space="preserve"> y acredita la realización de labores distintas a las contratadas, con mejor remuneración, mientras que la demandada, quien alegó la improcedencia respectiva por la incorporación del trabajador en las listas de raya, no demuestra que la relación laboral fue por obra o tiempo determinado, ello genera, por consecuencia, estimar que aquélla es permanente y, por tanto, la procedencia de la acción de </w:t>
      </w:r>
      <w:proofErr w:type="spellStart"/>
      <w:r>
        <w:rPr>
          <w:rFonts w:ascii="Palatino Linotype" w:hAnsi="Palatino Linotype"/>
          <w:sz w:val="16"/>
          <w:szCs w:val="16"/>
        </w:rPr>
        <w:t>recategorización</w:t>
      </w:r>
      <w:proofErr w:type="spellEnd"/>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2A0" w:rsidRDefault="00D202A0" w:rsidP="00BA0E0F">
    <w:pPr>
      <w:pStyle w:val="Encabezado"/>
      <w:tabs>
        <w:tab w:val="left" w:pos="2326"/>
      </w:tabs>
    </w:pPr>
  </w:p>
  <w:tbl>
    <w:tblPr>
      <w:tblW w:w="5953" w:type="dxa"/>
      <w:tblInd w:w="3261" w:type="dxa"/>
      <w:tblLayout w:type="fixed"/>
      <w:tblLook w:val="04A0" w:firstRow="1" w:lastRow="0" w:firstColumn="1" w:lastColumn="0" w:noHBand="0" w:noVBand="1"/>
    </w:tblPr>
    <w:tblGrid>
      <w:gridCol w:w="2489"/>
      <w:gridCol w:w="3464"/>
    </w:tblGrid>
    <w:tr w:rsidR="00D202A0" w:rsidRPr="008A510F" w:rsidTr="00E8131B">
      <w:tc>
        <w:tcPr>
          <w:tcW w:w="2489" w:type="dxa"/>
          <w:shd w:val="clear" w:color="auto" w:fill="auto"/>
        </w:tcPr>
        <w:p w:rsidR="00D202A0" w:rsidRPr="008A510F" w:rsidRDefault="00D202A0" w:rsidP="00BA0E0F">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D202A0" w:rsidRPr="008A510F" w:rsidRDefault="00D202A0" w:rsidP="00BA0E0F">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3899/INFOEM/IP/RR/2018</w:t>
          </w:r>
        </w:p>
      </w:tc>
    </w:tr>
    <w:tr w:rsidR="00D202A0" w:rsidRPr="008A510F" w:rsidTr="00E8131B">
      <w:trPr>
        <w:trHeight w:val="228"/>
      </w:trPr>
      <w:tc>
        <w:tcPr>
          <w:tcW w:w="2489" w:type="dxa"/>
          <w:shd w:val="clear" w:color="auto" w:fill="auto"/>
          <w:vAlign w:val="center"/>
        </w:tcPr>
        <w:p w:rsidR="00D202A0" w:rsidRPr="008A510F" w:rsidRDefault="00D202A0" w:rsidP="00BA0E0F">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D202A0" w:rsidRPr="00927A01" w:rsidRDefault="00D202A0" w:rsidP="00B10709">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p>
      </w:tc>
    </w:tr>
    <w:tr w:rsidR="00D202A0" w:rsidRPr="008A510F" w:rsidTr="00E8131B">
      <w:tc>
        <w:tcPr>
          <w:tcW w:w="2489" w:type="dxa"/>
          <w:shd w:val="clear" w:color="auto" w:fill="auto"/>
          <w:vAlign w:val="center"/>
        </w:tcPr>
        <w:p w:rsidR="00D202A0" w:rsidRPr="008A510F" w:rsidRDefault="00D202A0" w:rsidP="00BA0E0F">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D202A0" w:rsidRPr="008A510F" w:rsidRDefault="00D202A0" w:rsidP="00BA0E0F">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D202A0" w:rsidRDefault="00D202A0" w:rsidP="00BA0E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D202A0" w:rsidRPr="005A5E02" w:rsidTr="00E8131B">
      <w:tc>
        <w:tcPr>
          <w:tcW w:w="2551" w:type="dxa"/>
          <w:shd w:val="clear" w:color="auto" w:fill="auto"/>
          <w:vAlign w:val="center"/>
        </w:tcPr>
        <w:p w:rsidR="00D202A0" w:rsidRPr="005A5E02" w:rsidRDefault="00D202A0" w:rsidP="00BA0E0F">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D202A0" w:rsidRPr="005A5E02" w:rsidRDefault="00D202A0" w:rsidP="00BA0E0F">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03899/INFOEM/IP/RR/2018</w:t>
          </w:r>
        </w:p>
      </w:tc>
    </w:tr>
    <w:tr w:rsidR="00D202A0" w:rsidRPr="005A5E02" w:rsidTr="00E8131B">
      <w:trPr>
        <w:trHeight w:val="130"/>
      </w:trPr>
      <w:tc>
        <w:tcPr>
          <w:tcW w:w="2551" w:type="dxa"/>
          <w:shd w:val="clear" w:color="auto" w:fill="auto"/>
          <w:vAlign w:val="center"/>
        </w:tcPr>
        <w:p w:rsidR="00D202A0" w:rsidRPr="005A5E02" w:rsidRDefault="00D202A0" w:rsidP="00BA0E0F">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D202A0" w:rsidRPr="00927A01" w:rsidRDefault="007E107F" w:rsidP="00BA0E0F">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D202A0">
            <w:rPr>
              <w:rFonts w:ascii="Palatino Linotype" w:hAnsi="Palatino Linotype"/>
              <w:b/>
              <w:sz w:val="22"/>
              <w:szCs w:val="22"/>
              <w:lang w:val="es-ES_tradnl"/>
            </w:rPr>
            <w:t>.</w:t>
          </w:r>
        </w:p>
      </w:tc>
    </w:tr>
    <w:tr w:rsidR="00D202A0" w:rsidRPr="005A5E02" w:rsidTr="00E8131B">
      <w:trPr>
        <w:trHeight w:val="228"/>
      </w:trPr>
      <w:tc>
        <w:tcPr>
          <w:tcW w:w="2551" w:type="dxa"/>
          <w:shd w:val="clear" w:color="auto" w:fill="auto"/>
          <w:vAlign w:val="center"/>
        </w:tcPr>
        <w:p w:rsidR="00D202A0" w:rsidRPr="005A5E02" w:rsidRDefault="00D202A0" w:rsidP="00BA0E0F">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D202A0" w:rsidRPr="00927A01" w:rsidRDefault="00D202A0" w:rsidP="007D0876">
          <w:pPr>
            <w:ind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p>
      </w:tc>
    </w:tr>
    <w:tr w:rsidR="00D202A0" w:rsidRPr="005A5E02" w:rsidTr="00E8131B">
      <w:tc>
        <w:tcPr>
          <w:tcW w:w="2551" w:type="dxa"/>
          <w:shd w:val="clear" w:color="auto" w:fill="auto"/>
          <w:vAlign w:val="center"/>
        </w:tcPr>
        <w:p w:rsidR="00D202A0" w:rsidRPr="005A5E02" w:rsidRDefault="00D202A0" w:rsidP="00BA0E0F">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D202A0" w:rsidRPr="005A5E02" w:rsidRDefault="00D202A0" w:rsidP="00BA0E0F">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D202A0" w:rsidRDefault="00D202A0" w:rsidP="00BA0E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737" w:hanging="356"/>
      </w:pPr>
      <w:rPr>
        <w:rFonts w:ascii="Times New Roman" w:hAnsi="Times New Roman" w:cs="Times New Roman"/>
        <w:b w:val="0"/>
        <w:bCs w:val="0"/>
        <w:color w:val="1D1D1D"/>
        <w:w w:val="139"/>
        <w:sz w:val="25"/>
        <w:szCs w:val="25"/>
      </w:rPr>
    </w:lvl>
    <w:lvl w:ilvl="1">
      <w:numFmt w:val="bullet"/>
      <w:lvlText w:val="•"/>
      <w:lvlJc w:val="left"/>
      <w:pPr>
        <w:ind w:left="1582" w:hanging="356"/>
      </w:pPr>
    </w:lvl>
    <w:lvl w:ilvl="2">
      <w:numFmt w:val="bullet"/>
      <w:lvlText w:val="•"/>
      <w:lvlJc w:val="left"/>
      <w:pPr>
        <w:ind w:left="2424" w:hanging="356"/>
      </w:pPr>
    </w:lvl>
    <w:lvl w:ilvl="3">
      <w:numFmt w:val="bullet"/>
      <w:lvlText w:val="•"/>
      <w:lvlJc w:val="left"/>
      <w:pPr>
        <w:ind w:left="3266" w:hanging="356"/>
      </w:pPr>
    </w:lvl>
    <w:lvl w:ilvl="4">
      <w:numFmt w:val="bullet"/>
      <w:lvlText w:val="•"/>
      <w:lvlJc w:val="left"/>
      <w:pPr>
        <w:ind w:left="4108" w:hanging="356"/>
      </w:pPr>
    </w:lvl>
    <w:lvl w:ilvl="5">
      <w:numFmt w:val="bullet"/>
      <w:lvlText w:val="•"/>
      <w:lvlJc w:val="left"/>
      <w:pPr>
        <w:ind w:left="4950" w:hanging="356"/>
      </w:pPr>
    </w:lvl>
    <w:lvl w:ilvl="6">
      <w:numFmt w:val="bullet"/>
      <w:lvlText w:val="•"/>
      <w:lvlJc w:val="left"/>
      <w:pPr>
        <w:ind w:left="5792" w:hanging="356"/>
      </w:pPr>
    </w:lvl>
    <w:lvl w:ilvl="7">
      <w:numFmt w:val="bullet"/>
      <w:lvlText w:val="•"/>
      <w:lvlJc w:val="left"/>
      <w:pPr>
        <w:ind w:left="6634" w:hanging="356"/>
      </w:pPr>
    </w:lvl>
    <w:lvl w:ilvl="8">
      <w:numFmt w:val="bullet"/>
      <w:lvlText w:val="•"/>
      <w:lvlJc w:val="left"/>
      <w:pPr>
        <w:ind w:left="7476" w:hanging="356"/>
      </w:pPr>
    </w:lvl>
  </w:abstractNum>
  <w:abstractNum w:abstractNumId="1" w15:restartNumberingAfterBreak="0">
    <w:nsid w:val="1DF56B36"/>
    <w:multiLevelType w:val="multilevel"/>
    <w:tmpl w:val="999A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A0CD7"/>
    <w:multiLevelType w:val="hybridMultilevel"/>
    <w:tmpl w:val="44B4350E"/>
    <w:lvl w:ilvl="0" w:tplc="080A0017">
      <w:start w:val="1"/>
      <w:numFmt w:val="lowerLetter"/>
      <w:lvlText w:val="%1)"/>
      <w:lvlJc w:val="left"/>
      <w:pPr>
        <w:ind w:left="720" w:hanging="360"/>
      </w:pPr>
      <w:rPr>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1967506"/>
    <w:multiLevelType w:val="hybridMultilevel"/>
    <w:tmpl w:val="76A074C4"/>
    <w:lvl w:ilvl="0" w:tplc="213677BE">
      <w:start w:val="2"/>
      <w:numFmt w:val="lowerLetter"/>
      <w:lvlText w:val="%1)"/>
      <w:lvlJc w:val="left"/>
      <w:pPr>
        <w:ind w:left="8157" w:hanging="360"/>
      </w:pPr>
      <w:rPr>
        <w:rFonts w:hint="default"/>
        <w:b/>
        <w:u w:val="none"/>
      </w:rPr>
    </w:lvl>
    <w:lvl w:ilvl="1" w:tplc="080A0019" w:tentative="1">
      <w:start w:val="1"/>
      <w:numFmt w:val="lowerLetter"/>
      <w:lvlText w:val="%2."/>
      <w:lvlJc w:val="left"/>
      <w:pPr>
        <w:ind w:left="8877" w:hanging="360"/>
      </w:pPr>
    </w:lvl>
    <w:lvl w:ilvl="2" w:tplc="080A001B" w:tentative="1">
      <w:start w:val="1"/>
      <w:numFmt w:val="lowerRoman"/>
      <w:lvlText w:val="%3."/>
      <w:lvlJc w:val="right"/>
      <w:pPr>
        <w:ind w:left="9597" w:hanging="180"/>
      </w:pPr>
    </w:lvl>
    <w:lvl w:ilvl="3" w:tplc="080A000F" w:tentative="1">
      <w:start w:val="1"/>
      <w:numFmt w:val="decimal"/>
      <w:lvlText w:val="%4."/>
      <w:lvlJc w:val="left"/>
      <w:pPr>
        <w:ind w:left="10317" w:hanging="360"/>
      </w:pPr>
    </w:lvl>
    <w:lvl w:ilvl="4" w:tplc="080A0019" w:tentative="1">
      <w:start w:val="1"/>
      <w:numFmt w:val="lowerLetter"/>
      <w:lvlText w:val="%5."/>
      <w:lvlJc w:val="left"/>
      <w:pPr>
        <w:ind w:left="11037" w:hanging="360"/>
      </w:pPr>
    </w:lvl>
    <w:lvl w:ilvl="5" w:tplc="080A001B" w:tentative="1">
      <w:start w:val="1"/>
      <w:numFmt w:val="lowerRoman"/>
      <w:lvlText w:val="%6."/>
      <w:lvlJc w:val="right"/>
      <w:pPr>
        <w:ind w:left="11757" w:hanging="180"/>
      </w:pPr>
    </w:lvl>
    <w:lvl w:ilvl="6" w:tplc="080A000F" w:tentative="1">
      <w:start w:val="1"/>
      <w:numFmt w:val="decimal"/>
      <w:lvlText w:val="%7."/>
      <w:lvlJc w:val="left"/>
      <w:pPr>
        <w:ind w:left="12477" w:hanging="360"/>
      </w:pPr>
    </w:lvl>
    <w:lvl w:ilvl="7" w:tplc="080A0019" w:tentative="1">
      <w:start w:val="1"/>
      <w:numFmt w:val="lowerLetter"/>
      <w:lvlText w:val="%8."/>
      <w:lvlJc w:val="left"/>
      <w:pPr>
        <w:ind w:left="13197" w:hanging="360"/>
      </w:pPr>
    </w:lvl>
    <w:lvl w:ilvl="8" w:tplc="080A001B" w:tentative="1">
      <w:start w:val="1"/>
      <w:numFmt w:val="lowerRoman"/>
      <w:lvlText w:val="%9."/>
      <w:lvlJc w:val="right"/>
      <w:pPr>
        <w:ind w:left="13917" w:hanging="180"/>
      </w:pPr>
    </w:lvl>
  </w:abstractNum>
  <w:abstractNum w:abstractNumId="4" w15:restartNumberingAfterBreak="0">
    <w:nsid w:val="31CA50B4"/>
    <w:multiLevelType w:val="multilevel"/>
    <w:tmpl w:val="BAC8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B1C88"/>
    <w:multiLevelType w:val="hybridMultilevel"/>
    <w:tmpl w:val="B2D89576"/>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3BA699B"/>
    <w:multiLevelType w:val="hybridMultilevel"/>
    <w:tmpl w:val="263C3F34"/>
    <w:lvl w:ilvl="0" w:tplc="12E8CB2E">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E844B8"/>
    <w:multiLevelType w:val="hybridMultilevel"/>
    <w:tmpl w:val="37BE07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5"/>
  </w:num>
  <w:num w:numId="6">
    <w:abstractNumId w:val="0"/>
  </w:num>
  <w:num w:numId="7">
    <w:abstractNumId w:val="1"/>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0F"/>
    <w:rsid w:val="00002F97"/>
    <w:rsid w:val="00022EBD"/>
    <w:rsid w:val="00025A33"/>
    <w:rsid w:val="00032DA0"/>
    <w:rsid w:val="00083F9B"/>
    <w:rsid w:val="000868C0"/>
    <w:rsid w:val="00092A81"/>
    <w:rsid w:val="000B05D9"/>
    <w:rsid w:val="000B20CA"/>
    <w:rsid w:val="000B3BAC"/>
    <w:rsid w:val="000B74BF"/>
    <w:rsid w:val="000C788A"/>
    <w:rsid w:val="000E0E43"/>
    <w:rsid w:val="00101230"/>
    <w:rsid w:val="00105CA1"/>
    <w:rsid w:val="00140C66"/>
    <w:rsid w:val="00164958"/>
    <w:rsid w:val="00167E90"/>
    <w:rsid w:val="001859E0"/>
    <w:rsid w:val="00193178"/>
    <w:rsid w:val="001D57B5"/>
    <w:rsid w:val="001D636B"/>
    <w:rsid w:val="001D7B65"/>
    <w:rsid w:val="001F02E2"/>
    <w:rsid w:val="001F7269"/>
    <w:rsid w:val="002011EE"/>
    <w:rsid w:val="0022228F"/>
    <w:rsid w:val="00223901"/>
    <w:rsid w:val="00225800"/>
    <w:rsid w:val="00227F42"/>
    <w:rsid w:val="0023379C"/>
    <w:rsid w:val="002541D9"/>
    <w:rsid w:val="002563BB"/>
    <w:rsid w:val="00257D5A"/>
    <w:rsid w:val="00277A88"/>
    <w:rsid w:val="00277D18"/>
    <w:rsid w:val="002963BA"/>
    <w:rsid w:val="0029654D"/>
    <w:rsid w:val="002A17FE"/>
    <w:rsid w:val="002C357C"/>
    <w:rsid w:val="003105C0"/>
    <w:rsid w:val="00345AE2"/>
    <w:rsid w:val="003460F4"/>
    <w:rsid w:val="00356177"/>
    <w:rsid w:val="003600C7"/>
    <w:rsid w:val="00361F3D"/>
    <w:rsid w:val="00383941"/>
    <w:rsid w:val="0039713D"/>
    <w:rsid w:val="003A091D"/>
    <w:rsid w:val="003A48DC"/>
    <w:rsid w:val="003C38F0"/>
    <w:rsid w:val="003E7D1C"/>
    <w:rsid w:val="003F3FAD"/>
    <w:rsid w:val="00403E36"/>
    <w:rsid w:val="00407DA0"/>
    <w:rsid w:val="00413F53"/>
    <w:rsid w:val="00417EE6"/>
    <w:rsid w:val="00431047"/>
    <w:rsid w:val="004348AA"/>
    <w:rsid w:val="00434A3E"/>
    <w:rsid w:val="00436A86"/>
    <w:rsid w:val="00442ACD"/>
    <w:rsid w:val="00463283"/>
    <w:rsid w:val="0047776C"/>
    <w:rsid w:val="004855A5"/>
    <w:rsid w:val="00485A1C"/>
    <w:rsid w:val="00492D52"/>
    <w:rsid w:val="00494B66"/>
    <w:rsid w:val="004950AF"/>
    <w:rsid w:val="00496C28"/>
    <w:rsid w:val="004A3524"/>
    <w:rsid w:val="004D30AA"/>
    <w:rsid w:val="00500F55"/>
    <w:rsid w:val="0052014E"/>
    <w:rsid w:val="00543A42"/>
    <w:rsid w:val="00546029"/>
    <w:rsid w:val="005507B9"/>
    <w:rsid w:val="0056326E"/>
    <w:rsid w:val="00580FF6"/>
    <w:rsid w:val="005A0AAC"/>
    <w:rsid w:val="005A2D89"/>
    <w:rsid w:val="005B519D"/>
    <w:rsid w:val="005B56D5"/>
    <w:rsid w:val="005C5529"/>
    <w:rsid w:val="005D7F4D"/>
    <w:rsid w:val="005E2F65"/>
    <w:rsid w:val="005F1308"/>
    <w:rsid w:val="005F7A0D"/>
    <w:rsid w:val="0060528E"/>
    <w:rsid w:val="00610B29"/>
    <w:rsid w:val="006124E4"/>
    <w:rsid w:val="006300A1"/>
    <w:rsid w:val="006327B6"/>
    <w:rsid w:val="006341EF"/>
    <w:rsid w:val="00654168"/>
    <w:rsid w:val="006551EE"/>
    <w:rsid w:val="006747B0"/>
    <w:rsid w:val="00687C4F"/>
    <w:rsid w:val="00691A6C"/>
    <w:rsid w:val="00697417"/>
    <w:rsid w:val="006C1925"/>
    <w:rsid w:val="006C487B"/>
    <w:rsid w:val="006C6F1F"/>
    <w:rsid w:val="006D266C"/>
    <w:rsid w:val="006D3F94"/>
    <w:rsid w:val="006E6237"/>
    <w:rsid w:val="006E77BE"/>
    <w:rsid w:val="006F29D7"/>
    <w:rsid w:val="006F7712"/>
    <w:rsid w:val="00710F61"/>
    <w:rsid w:val="00713032"/>
    <w:rsid w:val="0071724D"/>
    <w:rsid w:val="00720241"/>
    <w:rsid w:val="007209F9"/>
    <w:rsid w:val="00721031"/>
    <w:rsid w:val="007279CF"/>
    <w:rsid w:val="00751E9F"/>
    <w:rsid w:val="00760023"/>
    <w:rsid w:val="00763AB9"/>
    <w:rsid w:val="0077177E"/>
    <w:rsid w:val="007864AD"/>
    <w:rsid w:val="00786D75"/>
    <w:rsid w:val="0079607F"/>
    <w:rsid w:val="007D0876"/>
    <w:rsid w:val="007E107F"/>
    <w:rsid w:val="007F1F7B"/>
    <w:rsid w:val="007F7BEE"/>
    <w:rsid w:val="008206DA"/>
    <w:rsid w:val="0082325C"/>
    <w:rsid w:val="008310E6"/>
    <w:rsid w:val="00834151"/>
    <w:rsid w:val="0083554D"/>
    <w:rsid w:val="008565AD"/>
    <w:rsid w:val="0085799A"/>
    <w:rsid w:val="00863F38"/>
    <w:rsid w:val="008668E9"/>
    <w:rsid w:val="00866D68"/>
    <w:rsid w:val="00867464"/>
    <w:rsid w:val="00871460"/>
    <w:rsid w:val="008735D9"/>
    <w:rsid w:val="00890B34"/>
    <w:rsid w:val="00897894"/>
    <w:rsid w:val="008B2642"/>
    <w:rsid w:val="008C2950"/>
    <w:rsid w:val="008D1996"/>
    <w:rsid w:val="008D5ED5"/>
    <w:rsid w:val="008F25C8"/>
    <w:rsid w:val="008F780E"/>
    <w:rsid w:val="00907F9B"/>
    <w:rsid w:val="00912D0E"/>
    <w:rsid w:val="009314F4"/>
    <w:rsid w:val="00942AB7"/>
    <w:rsid w:val="00986DE2"/>
    <w:rsid w:val="00991F07"/>
    <w:rsid w:val="00997257"/>
    <w:rsid w:val="009A696D"/>
    <w:rsid w:val="009B2A94"/>
    <w:rsid w:val="009C0209"/>
    <w:rsid w:val="009C0881"/>
    <w:rsid w:val="009C534C"/>
    <w:rsid w:val="009D3ADA"/>
    <w:rsid w:val="00A04710"/>
    <w:rsid w:val="00A1015D"/>
    <w:rsid w:val="00A3480C"/>
    <w:rsid w:val="00A4120A"/>
    <w:rsid w:val="00A44536"/>
    <w:rsid w:val="00A675DA"/>
    <w:rsid w:val="00A72EFA"/>
    <w:rsid w:val="00A8074D"/>
    <w:rsid w:val="00AA613B"/>
    <w:rsid w:val="00AD384E"/>
    <w:rsid w:val="00AF5BCC"/>
    <w:rsid w:val="00AF5F0F"/>
    <w:rsid w:val="00B10709"/>
    <w:rsid w:val="00B12DAE"/>
    <w:rsid w:val="00B27745"/>
    <w:rsid w:val="00B3758D"/>
    <w:rsid w:val="00B41248"/>
    <w:rsid w:val="00B41A9F"/>
    <w:rsid w:val="00B42F8D"/>
    <w:rsid w:val="00B71122"/>
    <w:rsid w:val="00B722D2"/>
    <w:rsid w:val="00B75247"/>
    <w:rsid w:val="00B86734"/>
    <w:rsid w:val="00B9607C"/>
    <w:rsid w:val="00BA0E0F"/>
    <w:rsid w:val="00BA3EAB"/>
    <w:rsid w:val="00BA49C1"/>
    <w:rsid w:val="00BB2B65"/>
    <w:rsid w:val="00BC3075"/>
    <w:rsid w:val="00BC4F06"/>
    <w:rsid w:val="00BC694E"/>
    <w:rsid w:val="00BD41B2"/>
    <w:rsid w:val="00BE76B0"/>
    <w:rsid w:val="00BF25A8"/>
    <w:rsid w:val="00C063B0"/>
    <w:rsid w:val="00C10351"/>
    <w:rsid w:val="00C10EE1"/>
    <w:rsid w:val="00C33D7E"/>
    <w:rsid w:val="00C52843"/>
    <w:rsid w:val="00C73B1C"/>
    <w:rsid w:val="00C93864"/>
    <w:rsid w:val="00CA7BA4"/>
    <w:rsid w:val="00CB4F71"/>
    <w:rsid w:val="00CE3054"/>
    <w:rsid w:val="00D00FA5"/>
    <w:rsid w:val="00D04CDA"/>
    <w:rsid w:val="00D1559C"/>
    <w:rsid w:val="00D202A0"/>
    <w:rsid w:val="00D346C0"/>
    <w:rsid w:val="00D40B26"/>
    <w:rsid w:val="00D46016"/>
    <w:rsid w:val="00D627AE"/>
    <w:rsid w:val="00D727A7"/>
    <w:rsid w:val="00DA5A82"/>
    <w:rsid w:val="00DB05B1"/>
    <w:rsid w:val="00DB2594"/>
    <w:rsid w:val="00DB4B02"/>
    <w:rsid w:val="00DB54C5"/>
    <w:rsid w:val="00DE3C0E"/>
    <w:rsid w:val="00DF22D3"/>
    <w:rsid w:val="00DF41BD"/>
    <w:rsid w:val="00E0242B"/>
    <w:rsid w:val="00E027A6"/>
    <w:rsid w:val="00E110F8"/>
    <w:rsid w:val="00E139F2"/>
    <w:rsid w:val="00E17F77"/>
    <w:rsid w:val="00E36856"/>
    <w:rsid w:val="00E51D44"/>
    <w:rsid w:val="00E63571"/>
    <w:rsid w:val="00E7156F"/>
    <w:rsid w:val="00E8131B"/>
    <w:rsid w:val="00E85C92"/>
    <w:rsid w:val="00E86BF6"/>
    <w:rsid w:val="00E9188C"/>
    <w:rsid w:val="00EA210C"/>
    <w:rsid w:val="00EA2255"/>
    <w:rsid w:val="00EB01FE"/>
    <w:rsid w:val="00EC0379"/>
    <w:rsid w:val="00EC2B03"/>
    <w:rsid w:val="00EE5DC0"/>
    <w:rsid w:val="00EF0498"/>
    <w:rsid w:val="00EF6148"/>
    <w:rsid w:val="00F02F8C"/>
    <w:rsid w:val="00F10632"/>
    <w:rsid w:val="00F16423"/>
    <w:rsid w:val="00F2631A"/>
    <w:rsid w:val="00F3536B"/>
    <w:rsid w:val="00F42B1C"/>
    <w:rsid w:val="00F42EBC"/>
    <w:rsid w:val="00F43BC4"/>
    <w:rsid w:val="00F57DFA"/>
    <w:rsid w:val="00F65D36"/>
    <w:rsid w:val="00F73DAD"/>
    <w:rsid w:val="00F84FD6"/>
    <w:rsid w:val="00F85B13"/>
    <w:rsid w:val="00F95BD2"/>
    <w:rsid w:val="00FF78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3538F-24D4-4A96-B0B5-22D8AD7F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E0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B9607C"/>
    <w:pPr>
      <w:autoSpaceDE w:val="0"/>
      <w:autoSpaceDN w:val="0"/>
      <w:adjustRightInd w:val="0"/>
      <w:ind w:left="87"/>
      <w:outlineLvl w:val="0"/>
    </w:pPr>
    <w:rPr>
      <w:rFonts w:eastAsiaTheme="minorHAnsi"/>
      <w:i/>
      <w:iCs/>
      <w:sz w:val="25"/>
      <w:szCs w:val="25"/>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A0E0F"/>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A0E0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A0E0F"/>
    <w:rPr>
      <w:rFonts w:ascii="Times New Roman" w:eastAsia="Times New Roman" w:hAnsi="Times New Roman" w:cs="Times New Roman"/>
      <w:sz w:val="20"/>
      <w:szCs w:val="20"/>
      <w:lang w:val="es-ES" w:eastAsia="es-ES"/>
    </w:rPr>
  </w:style>
  <w:style w:type="character" w:customStyle="1" w:styleId="SinespaciadoCar">
    <w:name w:val="Sin espaciado Car"/>
    <w:aliases w:val="Francesa Car"/>
    <w:link w:val="Sinespaciado"/>
    <w:uiPriority w:val="1"/>
    <w:locked/>
    <w:rsid w:val="00BA0E0F"/>
  </w:style>
  <w:style w:type="paragraph" w:styleId="Sinespaciado">
    <w:name w:val="No Spacing"/>
    <w:aliases w:val="Francesa"/>
    <w:link w:val="SinespaciadoCar"/>
    <w:uiPriority w:val="1"/>
    <w:qFormat/>
    <w:rsid w:val="00BA0E0F"/>
    <w:pPr>
      <w:spacing w:after="0" w:line="24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0E0F"/>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A0E0F"/>
    <w:pPr>
      <w:ind w:left="708"/>
    </w:pPr>
    <w:rPr>
      <w:sz w:val="22"/>
      <w:szCs w:val="22"/>
      <w:lang w:eastAsia="en-US"/>
    </w:rPr>
  </w:style>
  <w:style w:type="paragraph" w:customStyle="1" w:styleId="paragraph">
    <w:name w:val="paragraph"/>
    <w:basedOn w:val="Normal"/>
    <w:rsid w:val="00BA0E0F"/>
    <w:pPr>
      <w:spacing w:before="100" w:beforeAutospacing="1" w:after="100" w:afterAutospacing="1"/>
    </w:pPr>
    <w:rPr>
      <w:lang w:val="es-MX"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A0E0F"/>
    <w:rPr>
      <w:vertAlign w:val="superscript"/>
    </w:rPr>
  </w:style>
  <w:style w:type="character" w:customStyle="1" w:styleId="normaltextrun">
    <w:name w:val="normaltextrun"/>
    <w:basedOn w:val="Fuentedeprrafopredeter"/>
    <w:rsid w:val="00BA0E0F"/>
  </w:style>
  <w:style w:type="character" w:customStyle="1" w:styleId="apple-converted-space">
    <w:name w:val="apple-converted-space"/>
    <w:basedOn w:val="Fuentedeprrafopredeter"/>
    <w:rsid w:val="00BA0E0F"/>
  </w:style>
  <w:style w:type="character" w:customStyle="1" w:styleId="eop">
    <w:name w:val="eop"/>
    <w:basedOn w:val="Fuentedeprrafopredeter"/>
    <w:rsid w:val="00BA0E0F"/>
  </w:style>
  <w:style w:type="table" w:styleId="Tablaconcuadrcula">
    <w:name w:val="Table Grid"/>
    <w:basedOn w:val="Tablanormal"/>
    <w:uiPriority w:val="59"/>
    <w:rsid w:val="00BA0E0F"/>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A0E0F"/>
    <w:rPr>
      <w:b/>
      <w:bCs/>
    </w:rPr>
  </w:style>
  <w:style w:type="paragraph" w:styleId="Encabezado">
    <w:name w:val="header"/>
    <w:basedOn w:val="Normal"/>
    <w:link w:val="EncabezadoCar"/>
    <w:uiPriority w:val="99"/>
    <w:unhideWhenUsed/>
    <w:rsid w:val="00BA0E0F"/>
    <w:pPr>
      <w:tabs>
        <w:tab w:val="center" w:pos="4419"/>
        <w:tab w:val="right" w:pos="8838"/>
      </w:tabs>
    </w:pPr>
  </w:style>
  <w:style w:type="character" w:customStyle="1" w:styleId="EncabezadoCar">
    <w:name w:val="Encabezado Car"/>
    <w:basedOn w:val="Fuentedeprrafopredeter"/>
    <w:link w:val="Encabezado"/>
    <w:uiPriority w:val="99"/>
    <w:rsid w:val="00BA0E0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A0E0F"/>
    <w:pPr>
      <w:tabs>
        <w:tab w:val="center" w:pos="4419"/>
        <w:tab w:val="right" w:pos="8838"/>
      </w:tabs>
    </w:pPr>
  </w:style>
  <w:style w:type="character" w:customStyle="1" w:styleId="PiedepginaCar">
    <w:name w:val="Pie de página Car"/>
    <w:basedOn w:val="Fuentedeprrafopredeter"/>
    <w:link w:val="Piedepgina"/>
    <w:uiPriority w:val="99"/>
    <w:rsid w:val="00BA0E0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F85B13"/>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F85B13"/>
    <w:rPr>
      <w:rFonts w:ascii="Times New Roman" w:hAnsi="Times New Roman" w:cs="Times New Roman"/>
      <w:sz w:val="25"/>
      <w:szCs w:val="25"/>
    </w:rPr>
  </w:style>
  <w:style w:type="paragraph" w:styleId="Textodeglobo">
    <w:name w:val="Balloon Text"/>
    <w:basedOn w:val="Normal"/>
    <w:link w:val="TextodegloboCar"/>
    <w:uiPriority w:val="99"/>
    <w:semiHidden/>
    <w:unhideWhenUsed/>
    <w:rsid w:val="00907F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7F9B"/>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1"/>
    <w:rsid w:val="00B9607C"/>
    <w:rPr>
      <w:rFonts w:ascii="Times New Roman" w:hAnsi="Times New Roman" w:cs="Times New Roman"/>
      <w:i/>
      <w:iCs/>
      <w:sz w:val="25"/>
      <w:szCs w:val="25"/>
    </w:rPr>
  </w:style>
  <w:style w:type="character" w:customStyle="1" w:styleId="nacep">
    <w:name w:val="n_acep"/>
    <w:basedOn w:val="Fuentedeprrafopredeter"/>
    <w:rsid w:val="00F2631A"/>
  </w:style>
  <w:style w:type="character" w:customStyle="1" w:styleId="apple-style-span">
    <w:name w:val="apple-style-span"/>
    <w:rsid w:val="00D202A0"/>
  </w:style>
  <w:style w:type="paragraph" w:customStyle="1" w:styleId="Default">
    <w:name w:val="Default"/>
    <w:rsid w:val="00E715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373">
      <w:bodyDiv w:val="1"/>
      <w:marLeft w:val="0"/>
      <w:marRight w:val="0"/>
      <w:marTop w:val="0"/>
      <w:marBottom w:val="0"/>
      <w:divBdr>
        <w:top w:val="none" w:sz="0" w:space="0" w:color="auto"/>
        <w:left w:val="none" w:sz="0" w:space="0" w:color="auto"/>
        <w:bottom w:val="none" w:sz="0" w:space="0" w:color="auto"/>
        <w:right w:val="none" w:sz="0" w:space="0" w:color="auto"/>
      </w:divBdr>
    </w:div>
    <w:div w:id="753205692">
      <w:bodyDiv w:val="1"/>
      <w:marLeft w:val="0"/>
      <w:marRight w:val="0"/>
      <w:marTop w:val="0"/>
      <w:marBottom w:val="0"/>
      <w:divBdr>
        <w:top w:val="none" w:sz="0" w:space="0" w:color="auto"/>
        <w:left w:val="none" w:sz="0" w:space="0" w:color="auto"/>
        <w:bottom w:val="none" w:sz="0" w:space="0" w:color="auto"/>
        <w:right w:val="none" w:sz="0" w:space="0" w:color="auto"/>
      </w:divBdr>
    </w:div>
    <w:div w:id="912003909">
      <w:bodyDiv w:val="1"/>
      <w:marLeft w:val="0"/>
      <w:marRight w:val="0"/>
      <w:marTop w:val="0"/>
      <w:marBottom w:val="0"/>
      <w:divBdr>
        <w:top w:val="none" w:sz="0" w:space="0" w:color="auto"/>
        <w:left w:val="none" w:sz="0" w:space="0" w:color="auto"/>
        <w:bottom w:val="none" w:sz="0" w:space="0" w:color="auto"/>
        <w:right w:val="none" w:sz="0" w:space="0" w:color="auto"/>
      </w:divBdr>
    </w:div>
    <w:div w:id="1029985197">
      <w:bodyDiv w:val="1"/>
      <w:marLeft w:val="0"/>
      <w:marRight w:val="0"/>
      <w:marTop w:val="0"/>
      <w:marBottom w:val="0"/>
      <w:divBdr>
        <w:top w:val="none" w:sz="0" w:space="0" w:color="auto"/>
        <w:left w:val="none" w:sz="0" w:space="0" w:color="auto"/>
        <w:bottom w:val="none" w:sz="0" w:space="0" w:color="auto"/>
        <w:right w:val="none" w:sz="0" w:space="0" w:color="auto"/>
      </w:divBdr>
    </w:div>
    <w:div w:id="1269699908">
      <w:bodyDiv w:val="1"/>
      <w:marLeft w:val="0"/>
      <w:marRight w:val="0"/>
      <w:marTop w:val="0"/>
      <w:marBottom w:val="0"/>
      <w:divBdr>
        <w:top w:val="none" w:sz="0" w:space="0" w:color="auto"/>
        <w:left w:val="none" w:sz="0" w:space="0" w:color="auto"/>
        <w:bottom w:val="none" w:sz="0" w:space="0" w:color="auto"/>
        <w:right w:val="none" w:sz="0" w:space="0" w:color="auto"/>
      </w:divBdr>
    </w:div>
    <w:div w:id="128210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2708.pag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onografias.com/trabajos14/verific-servicios/verific-servicios.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600163.page"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A724-0636-4465-A921-58124D72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39</Pages>
  <Words>10204</Words>
  <Characters>56126</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2019-01-14T18:23:00Z</cp:lastPrinted>
  <dcterms:created xsi:type="dcterms:W3CDTF">2018-12-05T00:49:00Z</dcterms:created>
  <dcterms:modified xsi:type="dcterms:W3CDTF">2019-02-14T15:09:00Z</dcterms:modified>
</cp:coreProperties>
</file>